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0"/>
      </w:tblGrid>
      <w:tr w:rsidR="00A97587" w:rsidTr="002C7D0F">
        <w:trPr>
          <w:trHeight w:val="4678"/>
          <w:jc w:val="center"/>
        </w:trPr>
        <w:tc>
          <w:tcPr>
            <w:tcW w:w="5000" w:type="pct"/>
          </w:tcPr>
          <w:p w:rsidR="00A97587" w:rsidRPr="00D109E3" w:rsidRDefault="00A97587" w:rsidP="002C7D0F">
            <w:pPr>
              <w:pStyle w:val="10"/>
              <w:jc w:val="center"/>
              <w:rPr>
                <w:rFonts w:ascii="Cambria" w:hAnsi="Cambria"/>
                <w:caps/>
              </w:rPr>
            </w:pPr>
          </w:p>
          <w:p w:rsidR="00A97587" w:rsidRPr="00D109E3" w:rsidRDefault="00A97587" w:rsidP="002C7D0F">
            <w:pPr>
              <w:pStyle w:val="10"/>
              <w:jc w:val="center"/>
              <w:rPr>
                <w:rFonts w:ascii="Cambria" w:hAnsi="Cambria"/>
                <w:caps/>
              </w:rPr>
            </w:pPr>
          </w:p>
          <w:p w:rsidR="00A97587" w:rsidRPr="00D109E3" w:rsidRDefault="00A97587" w:rsidP="002C7D0F">
            <w:pPr>
              <w:pStyle w:val="10"/>
              <w:jc w:val="center"/>
              <w:rPr>
                <w:rFonts w:ascii="Cambria" w:hAnsi="Cambria"/>
                <w:caps/>
              </w:rPr>
            </w:pPr>
          </w:p>
          <w:p w:rsidR="00A97587" w:rsidRPr="00D109E3" w:rsidRDefault="00A97587" w:rsidP="002C7D0F">
            <w:pPr>
              <w:pStyle w:val="10"/>
              <w:jc w:val="center"/>
              <w:rPr>
                <w:rFonts w:ascii="Cambria" w:hAnsi="Cambria"/>
                <w:caps/>
              </w:rPr>
            </w:pPr>
          </w:p>
          <w:p w:rsidR="00A97587" w:rsidRPr="00D109E3" w:rsidRDefault="00A97587" w:rsidP="002C7D0F">
            <w:pPr>
              <w:pStyle w:val="10"/>
              <w:jc w:val="center"/>
              <w:rPr>
                <w:rFonts w:ascii="Cambria" w:hAnsi="Cambria"/>
                <w:caps/>
                <w:sz w:val="32"/>
                <w:szCs w:val="32"/>
              </w:rPr>
            </w:pPr>
            <w:r w:rsidRPr="00D109E3">
              <w:rPr>
                <w:rFonts w:ascii="Cambria" w:hAnsi="Cambria"/>
                <w:caps/>
                <w:sz w:val="32"/>
                <w:szCs w:val="32"/>
              </w:rPr>
              <w:t>Национальная ассоциация фтизиатров</w:t>
            </w:r>
          </w:p>
          <w:p w:rsidR="00A97587" w:rsidRPr="00D109E3" w:rsidRDefault="00A97587" w:rsidP="002C7D0F">
            <w:pPr>
              <w:pStyle w:val="10"/>
              <w:jc w:val="center"/>
              <w:rPr>
                <w:rFonts w:ascii="Cambria" w:hAnsi="Cambria"/>
                <w:caps/>
                <w:sz w:val="32"/>
                <w:szCs w:val="32"/>
              </w:rPr>
            </w:pPr>
          </w:p>
          <w:p w:rsidR="00A97587" w:rsidRPr="00D109E3" w:rsidRDefault="00A97587" w:rsidP="002C7D0F">
            <w:pPr>
              <w:pStyle w:val="10"/>
              <w:jc w:val="center"/>
              <w:rPr>
                <w:rFonts w:ascii="Cambria" w:hAnsi="Cambria"/>
                <w:caps/>
              </w:rPr>
            </w:pPr>
          </w:p>
        </w:tc>
      </w:tr>
      <w:tr w:rsidR="00A97587" w:rsidTr="002C7D0F">
        <w:trPr>
          <w:trHeight w:val="1440"/>
          <w:jc w:val="center"/>
        </w:trPr>
        <w:tc>
          <w:tcPr>
            <w:tcW w:w="5000" w:type="pct"/>
            <w:tcBorders>
              <w:bottom w:val="single" w:sz="4" w:space="0" w:color="4F81BD"/>
            </w:tcBorders>
            <w:vAlign w:val="center"/>
          </w:tcPr>
          <w:p w:rsidR="00A97587" w:rsidRPr="00D109E3" w:rsidRDefault="00A97587" w:rsidP="002C7D0F">
            <w:pPr>
              <w:pStyle w:val="10"/>
              <w:jc w:val="center"/>
              <w:rPr>
                <w:rFonts w:ascii="Cambria" w:hAnsi="Cambria"/>
                <w:sz w:val="80"/>
                <w:szCs w:val="80"/>
              </w:rPr>
            </w:pPr>
            <w:r w:rsidRPr="00D109E3">
              <w:rPr>
                <w:rFonts w:ascii="Cambria" w:hAnsi="Cambria"/>
                <w:sz w:val="56"/>
                <w:szCs w:val="56"/>
              </w:rPr>
              <w:t>Клинические рекомендации по диагностике и лечению туберкулеза органов дыхания у взрослых</w:t>
            </w:r>
          </w:p>
        </w:tc>
      </w:tr>
      <w:tr w:rsidR="00A97587" w:rsidTr="002C7D0F">
        <w:trPr>
          <w:trHeight w:val="848"/>
          <w:jc w:val="center"/>
        </w:trPr>
        <w:tc>
          <w:tcPr>
            <w:tcW w:w="5000" w:type="pct"/>
            <w:tcBorders>
              <w:top w:val="single" w:sz="4" w:space="0" w:color="4F81BD"/>
            </w:tcBorders>
            <w:vAlign w:val="center"/>
          </w:tcPr>
          <w:p w:rsidR="00A97587" w:rsidRPr="00D109E3" w:rsidRDefault="00A97587" w:rsidP="002C7D0F">
            <w:pPr>
              <w:pStyle w:val="10"/>
              <w:jc w:val="center"/>
              <w:rPr>
                <w:rFonts w:ascii="Cambria" w:hAnsi="Cambria"/>
                <w:sz w:val="44"/>
                <w:szCs w:val="44"/>
              </w:rPr>
            </w:pPr>
          </w:p>
        </w:tc>
      </w:tr>
      <w:tr w:rsidR="00A97587" w:rsidTr="002C7D0F">
        <w:trPr>
          <w:trHeight w:val="360"/>
          <w:jc w:val="center"/>
        </w:trPr>
        <w:tc>
          <w:tcPr>
            <w:tcW w:w="5000" w:type="pct"/>
            <w:vAlign w:val="center"/>
          </w:tcPr>
          <w:p w:rsidR="00A97587" w:rsidRPr="00715D13" w:rsidRDefault="00A97587" w:rsidP="002C7D0F">
            <w:pPr>
              <w:spacing w:line="360" w:lineRule="auto"/>
              <w:ind w:left="-709"/>
              <w:jc w:val="center"/>
              <w:rPr>
                <w:rFonts w:eastAsia="Times New Roman"/>
                <w:sz w:val="28"/>
                <w:szCs w:val="28"/>
              </w:rPr>
            </w:pPr>
            <w:r w:rsidRPr="00715D13">
              <w:rPr>
                <w:rFonts w:eastAsia="Times New Roman"/>
                <w:sz w:val="28"/>
                <w:szCs w:val="28"/>
              </w:rPr>
              <w:t>(Коды по МКБ: А15-А1</w:t>
            </w:r>
            <w:r>
              <w:rPr>
                <w:rFonts w:eastAsia="Times New Roman"/>
                <w:sz w:val="28"/>
                <w:szCs w:val="28"/>
              </w:rPr>
              <w:t xml:space="preserve">6, </w:t>
            </w:r>
            <w:r w:rsidRPr="00715D13">
              <w:rPr>
                <w:rFonts w:eastAsia="Times New Roman"/>
                <w:sz w:val="28"/>
                <w:szCs w:val="28"/>
              </w:rPr>
              <w:t>А19</w:t>
            </w:r>
            <w:r>
              <w:rPr>
                <w:rFonts w:eastAsia="Times New Roman"/>
                <w:sz w:val="28"/>
                <w:szCs w:val="28"/>
              </w:rPr>
              <w:t xml:space="preserve"> часть</w:t>
            </w:r>
            <w:r w:rsidRPr="00715D13">
              <w:rPr>
                <w:rFonts w:eastAsia="Times New Roman"/>
                <w:sz w:val="28"/>
                <w:szCs w:val="28"/>
              </w:rPr>
              <w:t>)</w:t>
            </w:r>
          </w:p>
          <w:p w:rsidR="00A97587" w:rsidRPr="00D109E3" w:rsidRDefault="00A97587" w:rsidP="002C7D0F">
            <w:pPr>
              <w:pStyle w:val="10"/>
              <w:jc w:val="center"/>
            </w:pPr>
          </w:p>
        </w:tc>
      </w:tr>
      <w:tr w:rsidR="00A97587" w:rsidTr="002C7D0F">
        <w:trPr>
          <w:trHeight w:val="360"/>
          <w:jc w:val="center"/>
        </w:trPr>
        <w:tc>
          <w:tcPr>
            <w:tcW w:w="5000" w:type="pct"/>
            <w:vAlign w:val="center"/>
          </w:tcPr>
          <w:p w:rsidR="00A97587" w:rsidRPr="00D109E3" w:rsidRDefault="00A97587" w:rsidP="002C7D0F">
            <w:pPr>
              <w:pStyle w:val="10"/>
              <w:jc w:val="center"/>
              <w:rPr>
                <w:b/>
                <w:bCs/>
              </w:rPr>
            </w:pPr>
          </w:p>
          <w:p w:rsidR="00A97587" w:rsidRPr="00D109E3" w:rsidRDefault="00A97587" w:rsidP="002C7D0F">
            <w:pPr>
              <w:pStyle w:val="10"/>
              <w:jc w:val="center"/>
              <w:rPr>
                <w:b/>
                <w:bCs/>
              </w:rPr>
            </w:pPr>
          </w:p>
          <w:p w:rsidR="00A97587" w:rsidRPr="00D109E3" w:rsidRDefault="00A97587" w:rsidP="002C7D0F">
            <w:pPr>
              <w:pStyle w:val="10"/>
              <w:jc w:val="center"/>
              <w:rPr>
                <w:b/>
                <w:bC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Default="00A97587" w:rsidP="002C7D0F">
            <w:pPr>
              <w:pStyle w:val="10"/>
              <w:jc w:val="center"/>
              <w:rPr>
                <w:b/>
                <w:bCs/>
                <w:lang w:val="en-US"/>
              </w:rPr>
            </w:pPr>
          </w:p>
          <w:p w:rsidR="00A97587" w:rsidRPr="00D109E3" w:rsidRDefault="00A97587" w:rsidP="002C7D0F">
            <w:pPr>
              <w:pStyle w:val="10"/>
              <w:jc w:val="center"/>
              <w:rPr>
                <w:b/>
                <w:bCs/>
              </w:rPr>
            </w:pPr>
          </w:p>
          <w:p w:rsidR="00A97587" w:rsidRPr="00D109E3" w:rsidRDefault="00A97587" w:rsidP="002C7D0F">
            <w:pPr>
              <w:pStyle w:val="10"/>
              <w:jc w:val="center"/>
              <w:rPr>
                <w:b/>
                <w:bCs/>
              </w:rPr>
            </w:pPr>
            <w:r w:rsidRPr="00D109E3">
              <w:rPr>
                <w:b/>
                <w:bCs/>
              </w:rPr>
              <w:t>2013</w:t>
            </w:r>
          </w:p>
        </w:tc>
      </w:tr>
      <w:tr w:rsidR="00A97587" w:rsidTr="002C7D0F">
        <w:trPr>
          <w:trHeight w:val="360"/>
          <w:jc w:val="center"/>
        </w:trPr>
        <w:tc>
          <w:tcPr>
            <w:tcW w:w="5000" w:type="pct"/>
            <w:vAlign w:val="center"/>
          </w:tcPr>
          <w:p w:rsidR="00A97587" w:rsidRPr="00D109E3" w:rsidRDefault="00A97587" w:rsidP="002C7D0F">
            <w:pPr>
              <w:pStyle w:val="10"/>
              <w:jc w:val="center"/>
              <w:rPr>
                <w:b/>
                <w:bCs/>
              </w:rPr>
            </w:pPr>
          </w:p>
        </w:tc>
      </w:tr>
    </w:tbl>
    <w:p w:rsidR="00A97587" w:rsidRPr="00715D13" w:rsidRDefault="00A97587" w:rsidP="000B4017">
      <w:pPr>
        <w:spacing w:after="0" w:line="240" w:lineRule="auto"/>
        <w:rPr>
          <w:sz w:val="24"/>
          <w:szCs w:val="24"/>
        </w:rPr>
      </w:pPr>
      <w:r>
        <w:br w:type="page"/>
      </w:r>
      <w:r w:rsidRPr="00715D13">
        <w:rPr>
          <w:sz w:val="24"/>
          <w:szCs w:val="24"/>
        </w:rPr>
        <w:t xml:space="preserve">Коллектив авторов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Pr>
          <w:sz w:val="24"/>
          <w:szCs w:val="24"/>
        </w:rPr>
        <w:t xml:space="preserve">Яблонский Петр Казимирович, профессор,д.м.н. </w:t>
      </w:r>
    </w:p>
    <w:p w:rsidR="00A97587" w:rsidRDefault="00A97587" w:rsidP="000B4017">
      <w:pPr>
        <w:spacing w:after="0" w:line="240" w:lineRule="auto"/>
        <w:rPr>
          <w:sz w:val="24"/>
          <w:szCs w:val="24"/>
        </w:rPr>
      </w:pPr>
    </w:p>
    <w:p w:rsidR="00A97587" w:rsidRPr="00715D13" w:rsidRDefault="00A97587" w:rsidP="000B4017">
      <w:pPr>
        <w:spacing w:after="0" w:line="240" w:lineRule="auto"/>
        <w:rPr>
          <w:sz w:val="24"/>
          <w:szCs w:val="24"/>
        </w:rPr>
      </w:pPr>
      <w:r w:rsidRPr="00715D13">
        <w:rPr>
          <w:sz w:val="24"/>
          <w:szCs w:val="24"/>
        </w:rPr>
        <w:t xml:space="preserve">Васильева Ирина Анатольевна, профессор, д.м.н. </w:t>
      </w:r>
    </w:p>
    <w:p w:rsidR="00A97587" w:rsidRPr="00715D13" w:rsidRDefault="00A97587" w:rsidP="000B4017">
      <w:pPr>
        <w:spacing w:after="0" w:line="240" w:lineRule="auto"/>
        <w:rPr>
          <w:sz w:val="24"/>
          <w:szCs w:val="24"/>
        </w:rPr>
      </w:pPr>
    </w:p>
    <w:p w:rsidR="00A97587" w:rsidRPr="00715D13" w:rsidRDefault="00A97587" w:rsidP="000B4017">
      <w:pPr>
        <w:spacing w:after="0" w:line="240" w:lineRule="auto"/>
        <w:rPr>
          <w:sz w:val="24"/>
          <w:szCs w:val="24"/>
        </w:rPr>
      </w:pPr>
      <w:r w:rsidRPr="00715D13">
        <w:rPr>
          <w:sz w:val="24"/>
          <w:szCs w:val="24"/>
        </w:rPr>
        <w:t xml:space="preserve">Эргешов Атаджан Эргешович, профессор, д. м. н. </w:t>
      </w:r>
    </w:p>
    <w:p w:rsidR="00A97587"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Марьяндышев Андрей Олегович, член-корр. РАМН, профессор, д.м.н.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Самойлова Анастасия Геннадьевна, к.м.н.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Багдасарян Татев Рафиковна, к.м.н.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Багиров Мамед Адилович, д.м.н.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Комиссарова Оксана Геннадьевна, профессор, д.м.н.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Черноусова Лариса Николаевна, профессор, д.б.н.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Ловачева Ольга Викторовна, профессор, д.м.н.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Перфильев Андрей Владимирович, д.м.н. </w:t>
      </w:r>
    </w:p>
    <w:p w:rsidR="00A97587"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Баласанянц Гоар Сисаковна, профессор, д.м.н. </w:t>
      </w:r>
    </w:p>
    <w:p w:rsidR="00A97587" w:rsidRDefault="00A97587" w:rsidP="000B4017">
      <w:pPr>
        <w:spacing w:after="0" w:line="240" w:lineRule="auto"/>
        <w:rPr>
          <w:sz w:val="24"/>
          <w:szCs w:val="24"/>
        </w:rPr>
      </w:pPr>
    </w:p>
    <w:p w:rsidR="00A97587" w:rsidRPr="00715D13" w:rsidRDefault="00A97587" w:rsidP="000B4017">
      <w:pPr>
        <w:spacing w:after="0" w:line="240" w:lineRule="auto"/>
        <w:rPr>
          <w:sz w:val="24"/>
          <w:szCs w:val="24"/>
        </w:rPr>
      </w:pPr>
      <w:r>
        <w:rPr>
          <w:sz w:val="24"/>
          <w:szCs w:val="24"/>
        </w:rPr>
        <w:t>Галкин Владимир Борисович, к.м.н.</w:t>
      </w:r>
    </w:p>
    <w:p w:rsidR="00A97587"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Иванов Александр Константинович, профессор, д.м.н. </w:t>
      </w:r>
    </w:p>
    <w:p w:rsidR="00A97587" w:rsidRPr="00715D13"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Павлова Мария Васильевна, </w:t>
      </w:r>
      <w:r>
        <w:rPr>
          <w:sz w:val="24"/>
          <w:szCs w:val="24"/>
        </w:rPr>
        <w:t xml:space="preserve">профессор, </w:t>
      </w:r>
      <w:r w:rsidRPr="00715D13">
        <w:rPr>
          <w:sz w:val="24"/>
          <w:szCs w:val="24"/>
        </w:rPr>
        <w:t xml:space="preserve">д.м.н. </w:t>
      </w:r>
    </w:p>
    <w:p w:rsidR="00A97587" w:rsidRPr="00715D13" w:rsidRDefault="00A97587" w:rsidP="000B4017">
      <w:pPr>
        <w:spacing w:after="0" w:line="240" w:lineRule="auto"/>
        <w:rPr>
          <w:sz w:val="24"/>
          <w:szCs w:val="24"/>
        </w:rPr>
      </w:pPr>
    </w:p>
    <w:p w:rsidR="00A97587" w:rsidRPr="00715D13" w:rsidRDefault="00A97587" w:rsidP="000B4017">
      <w:pPr>
        <w:spacing w:after="0" w:line="240" w:lineRule="auto"/>
        <w:rPr>
          <w:sz w:val="24"/>
          <w:szCs w:val="24"/>
        </w:rPr>
      </w:pPr>
      <w:r w:rsidRPr="00715D13">
        <w:rPr>
          <w:sz w:val="24"/>
          <w:szCs w:val="24"/>
        </w:rPr>
        <w:t xml:space="preserve">Шульгина Марина Владимировна, профессор, д.б.н. </w:t>
      </w:r>
    </w:p>
    <w:p w:rsidR="00A97587" w:rsidRDefault="00A97587" w:rsidP="000B4017">
      <w:pPr>
        <w:spacing w:after="0" w:line="240" w:lineRule="auto"/>
        <w:rPr>
          <w:sz w:val="24"/>
          <w:szCs w:val="24"/>
        </w:rPr>
      </w:pPr>
    </w:p>
    <w:p w:rsidR="00A97587" w:rsidRPr="00715D13" w:rsidRDefault="00A97587" w:rsidP="000B4017">
      <w:pPr>
        <w:spacing w:after="0" w:line="240" w:lineRule="auto"/>
        <w:rPr>
          <w:sz w:val="24"/>
          <w:szCs w:val="24"/>
        </w:rPr>
      </w:pPr>
      <w:r w:rsidRPr="00715D13">
        <w:rPr>
          <w:sz w:val="24"/>
          <w:szCs w:val="24"/>
        </w:rPr>
        <w:t xml:space="preserve">Скорняков Сергей Николаевич, профессор, д.м.н. </w:t>
      </w:r>
    </w:p>
    <w:p w:rsidR="00A97587" w:rsidRDefault="00A97587" w:rsidP="000B4017">
      <w:pPr>
        <w:spacing w:after="0" w:line="240" w:lineRule="auto"/>
        <w:rPr>
          <w:sz w:val="24"/>
          <w:szCs w:val="24"/>
        </w:rPr>
      </w:pPr>
    </w:p>
    <w:p w:rsidR="00A97587" w:rsidRDefault="00A97587" w:rsidP="000B4017">
      <w:pPr>
        <w:spacing w:after="0" w:line="240" w:lineRule="auto"/>
        <w:rPr>
          <w:sz w:val="24"/>
          <w:szCs w:val="24"/>
        </w:rPr>
      </w:pPr>
      <w:r w:rsidRPr="00715D13">
        <w:rPr>
          <w:sz w:val="24"/>
          <w:szCs w:val="24"/>
        </w:rPr>
        <w:t xml:space="preserve">Стаханов Владимир Анатольевич, профессор, д.м.н. </w:t>
      </w:r>
    </w:p>
    <w:p w:rsidR="00A97587" w:rsidRDefault="00A97587" w:rsidP="000B4017">
      <w:pPr>
        <w:spacing w:after="0" w:line="240" w:lineRule="auto"/>
        <w:rPr>
          <w:sz w:val="24"/>
          <w:szCs w:val="24"/>
        </w:rPr>
      </w:pPr>
    </w:p>
    <w:p w:rsidR="00A97587" w:rsidRPr="00715D13" w:rsidRDefault="00A97587" w:rsidP="000B4017">
      <w:pPr>
        <w:spacing w:after="0" w:line="240" w:lineRule="auto"/>
        <w:rPr>
          <w:sz w:val="24"/>
          <w:szCs w:val="24"/>
        </w:rPr>
      </w:pPr>
      <w:r w:rsidRPr="00715D13">
        <w:rPr>
          <w:sz w:val="24"/>
          <w:szCs w:val="24"/>
        </w:rPr>
        <w:t>Казенный Борис Яковлевич, к.м.н.</w:t>
      </w:r>
    </w:p>
    <w:p w:rsidR="00A97587" w:rsidRDefault="00A97587" w:rsidP="000B4017">
      <w:pPr>
        <w:pStyle w:val="Title"/>
      </w:pPr>
      <w:r w:rsidRPr="00715D13">
        <w:rPr>
          <w:sz w:val="24"/>
          <w:szCs w:val="24"/>
        </w:rPr>
        <w:br w:type="page"/>
      </w:r>
      <w:bookmarkStart w:id="0" w:name="_Toc373847341"/>
      <w:bookmarkStart w:id="1" w:name="_Toc374016054"/>
      <w:r w:rsidRPr="003F52C2">
        <w:t>Оглавление</w:t>
      </w:r>
      <w:bookmarkEnd w:id="0"/>
      <w:bookmarkEnd w:id="1"/>
    </w:p>
    <w:p w:rsidR="00A97587" w:rsidRDefault="00A97587">
      <w:pPr>
        <w:pStyle w:val="TOC1"/>
        <w:tabs>
          <w:tab w:val="right" w:leader="dot" w:pos="9344"/>
        </w:tabs>
        <w:rPr>
          <w:rFonts w:ascii="Times New Roman" w:hAnsi="Times New Roman"/>
          <w:noProof/>
          <w:sz w:val="24"/>
          <w:szCs w:val="24"/>
          <w:lang w:eastAsia="ru-RU"/>
        </w:rPr>
      </w:pPr>
      <w:r>
        <w:rPr>
          <w:b/>
          <w:bCs/>
        </w:rPr>
        <w:fldChar w:fldCharType="begin"/>
      </w:r>
      <w:r>
        <w:rPr>
          <w:b/>
          <w:bCs/>
        </w:rPr>
        <w:instrText xml:space="preserve"> TOC \o "1-2" \h \z \u </w:instrText>
      </w:r>
      <w:r>
        <w:rPr>
          <w:b/>
          <w:bCs/>
        </w:rPr>
        <w:fldChar w:fldCharType="separate"/>
      </w:r>
      <w:hyperlink w:anchor="_Toc374016054" w:history="1">
        <w:r w:rsidRPr="00DC146D">
          <w:rPr>
            <w:rStyle w:val="Hyperlink"/>
            <w:noProof/>
          </w:rPr>
          <w:t>Оглавление</w:t>
        </w:r>
        <w:r>
          <w:rPr>
            <w:noProof/>
            <w:webHidden/>
          </w:rPr>
          <w:tab/>
        </w:r>
        <w:r>
          <w:rPr>
            <w:noProof/>
            <w:webHidden/>
          </w:rPr>
          <w:fldChar w:fldCharType="begin"/>
        </w:r>
        <w:r>
          <w:rPr>
            <w:noProof/>
            <w:webHidden/>
          </w:rPr>
          <w:instrText xml:space="preserve"> PAGEREF _Toc374016054 \h </w:instrText>
        </w:r>
        <w:r>
          <w:rPr>
            <w:noProof/>
          </w:rPr>
        </w:r>
        <w:r>
          <w:rPr>
            <w:noProof/>
            <w:webHidden/>
          </w:rPr>
          <w:fldChar w:fldCharType="separate"/>
        </w:r>
        <w:r>
          <w:rPr>
            <w:noProof/>
            <w:webHidden/>
          </w:rPr>
          <w:t>3</w:t>
        </w:r>
        <w:r>
          <w:rPr>
            <w:noProof/>
            <w:webHidden/>
          </w:rPr>
          <w:fldChar w:fldCharType="end"/>
        </w:r>
      </w:hyperlink>
    </w:p>
    <w:p w:rsidR="00A97587" w:rsidRDefault="00A97587">
      <w:pPr>
        <w:pStyle w:val="TOC1"/>
        <w:tabs>
          <w:tab w:val="left" w:pos="440"/>
          <w:tab w:val="right" w:leader="dot" w:pos="9344"/>
        </w:tabs>
        <w:rPr>
          <w:rFonts w:ascii="Times New Roman" w:hAnsi="Times New Roman"/>
          <w:noProof/>
          <w:sz w:val="24"/>
          <w:szCs w:val="24"/>
          <w:lang w:eastAsia="ru-RU"/>
        </w:rPr>
      </w:pPr>
      <w:hyperlink w:anchor="_Toc374016055" w:history="1">
        <w:r w:rsidRPr="00DC146D">
          <w:rPr>
            <w:rStyle w:val="Hyperlink"/>
            <w:noProof/>
          </w:rPr>
          <w:t>1.</w:t>
        </w:r>
        <w:r>
          <w:rPr>
            <w:rFonts w:ascii="Times New Roman" w:hAnsi="Times New Roman"/>
            <w:noProof/>
            <w:sz w:val="24"/>
            <w:szCs w:val="24"/>
            <w:lang w:eastAsia="ru-RU"/>
          </w:rPr>
          <w:tab/>
        </w:r>
        <w:r w:rsidRPr="00DC146D">
          <w:rPr>
            <w:rStyle w:val="Hyperlink"/>
            <w:noProof/>
          </w:rPr>
          <w:t>Методология</w:t>
        </w:r>
        <w:r>
          <w:rPr>
            <w:noProof/>
            <w:webHidden/>
          </w:rPr>
          <w:tab/>
        </w:r>
        <w:r>
          <w:rPr>
            <w:noProof/>
            <w:webHidden/>
          </w:rPr>
          <w:fldChar w:fldCharType="begin"/>
        </w:r>
        <w:r>
          <w:rPr>
            <w:noProof/>
            <w:webHidden/>
          </w:rPr>
          <w:instrText xml:space="preserve"> PAGEREF _Toc374016055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1"/>
        <w:tabs>
          <w:tab w:val="left" w:pos="440"/>
          <w:tab w:val="right" w:leader="dot" w:pos="9344"/>
        </w:tabs>
        <w:rPr>
          <w:rFonts w:ascii="Times New Roman" w:hAnsi="Times New Roman"/>
          <w:noProof/>
          <w:sz w:val="24"/>
          <w:szCs w:val="24"/>
          <w:lang w:eastAsia="ru-RU"/>
        </w:rPr>
      </w:pPr>
      <w:hyperlink w:anchor="_Toc374016056" w:history="1">
        <w:r w:rsidRPr="00DC146D">
          <w:rPr>
            <w:rStyle w:val="Hyperlink"/>
            <w:noProof/>
          </w:rPr>
          <w:t>2.</w:t>
        </w:r>
        <w:r>
          <w:rPr>
            <w:rFonts w:ascii="Times New Roman" w:hAnsi="Times New Roman"/>
            <w:noProof/>
            <w:sz w:val="24"/>
            <w:szCs w:val="24"/>
            <w:lang w:eastAsia="ru-RU"/>
          </w:rPr>
          <w:tab/>
        </w:r>
        <w:r w:rsidRPr="00DC146D">
          <w:rPr>
            <w:rStyle w:val="Hyperlink"/>
            <w:rFonts w:cs="Arial"/>
            <w:noProof/>
          </w:rPr>
          <w:t>Определения и сокращения</w:t>
        </w:r>
        <w:r>
          <w:rPr>
            <w:noProof/>
            <w:webHidden/>
          </w:rPr>
          <w:tab/>
        </w:r>
        <w:r>
          <w:rPr>
            <w:noProof/>
            <w:webHidden/>
          </w:rPr>
          <w:fldChar w:fldCharType="begin"/>
        </w:r>
        <w:r>
          <w:rPr>
            <w:noProof/>
            <w:webHidden/>
          </w:rPr>
          <w:instrText xml:space="preserve"> PAGEREF _Toc374016056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1"/>
        <w:tabs>
          <w:tab w:val="left" w:pos="440"/>
          <w:tab w:val="right" w:leader="dot" w:pos="9344"/>
        </w:tabs>
        <w:rPr>
          <w:rFonts w:ascii="Times New Roman" w:hAnsi="Times New Roman"/>
          <w:noProof/>
          <w:sz w:val="24"/>
          <w:szCs w:val="24"/>
          <w:lang w:eastAsia="ru-RU"/>
        </w:rPr>
      </w:pPr>
      <w:hyperlink w:anchor="_Toc374016057" w:history="1">
        <w:r w:rsidRPr="00DC146D">
          <w:rPr>
            <w:rStyle w:val="Hyperlink"/>
            <w:noProof/>
          </w:rPr>
          <w:t>3.</w:t>
        </w:r>
        <w:r>
          <w:rPr>
            <w:rFonts w:ascii="Times New Roman" w:hAnsi="Times New Roman"/>
            <w:noProof/>
            <w:sz w:val="24"/>
            <w:szCs w:val="24"/>
            <w:lang w:eastAsia="ru-RU"/>
          </w:rPr>
          <w:tab/>
        </w:r>
        <w:r w:rsidRPr="00DC146D">
          <w:rPr>
            <w:rStyle w:val="Hyperlink"/>
            <w:noProof/>
          </w:rPr>
          <w:t>Диагностика туберкулеза органов дыхания</w:t>
        </w:r>
        <w:r>
          <w:rPr>
            <w:noProof/>
            <w:webHidden/>
          </w:rPr>
          <w:tab/>
        </w:r>
        <w:r>
          <w:rPr>
            <w:noProof/>
            <w:webHidden/>
          </w:rPr>
          <w:fldChar w:fldCharType="begin"/>
        </w:r>
        <w:r>
          <w:rPr>
            <w:noProof/>
            <w:webHidden/>
          </w:rPr>
          <w:instrText xml:space="preserve"> PAGEREF _Toc374016057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58" w:history="1">
        <w:r w:rsidRPr="00DC146D">
          <w:rPr>
            <w:rStyle w:val="Hyperlink"/>
            <w:noProof/>
          </w:rPr>
          <w:t>3.1.</w:t>
        </w:r>
        <w:r>
          <w:rPr>
            <w:rFonts w:ascii="Times New Roman" w:hAnsi="Times New Roman"/>
            <w:noProof/>
            <w:sz w:val="24"/>
            <w:szCs w:val="24"/>
            <w:lang w:eastAsia="ru-RU"/>
          </w:rPr>
          <w:tab/>
        </w:r>
        <w:r w:rsidRPr="00DC146D">
          <w:rPr>
            <w:rStyle w:val="Hyperlink"/>
            <w:noProof/>
          </w:rPr>
          <w:t>Алгоритм диагностики туберкулеза органов дыхания</w:t>
        </w:r>
        <w:r>
          <w:rPr>
            <w:noProof/>
            <w:webHidden/>
          </w:rPr>
          <w:tab/>
        </w:r>
        <w:r>
          <w:rPr>
            <w:noProof/>
            <w:webHidden/>
          </w:rPr>
          <w:fldChar w:fldCharType="begin"/>
        </w:r>
        <w:r>
          <w:rPr>
            <w:noProof/>
            <w:webHidden/>
          </w:rPr>
          <w:instrText xml:space="preserve"> PAGEREF _Toc374016058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59" w:history="1">
        <w:r w:rsidRPr="00DC146D">
          <w:rPr>
            <w:rStyle w:val="Hyperlink"/>
            <w:noProof/>
          </w:rPr>
          <w:t>3.2.</w:t>
        </w:r>
        <w:r>
          <w:rPr>
            <w:rFonts w:ascii="Times New Roman" w:hAnsi="Times New Roman"/>
            <w:noProof/>
            <w:sz w:val="24"/>
            <w:szCs w:val="24"/>
            <w:lang w:eastAsia="ru-RU"/>
          </w:rPr>
          <w:tab/>
        </w:r>
        <w:r w:rsidRPr="00DC146D">
          <w:rPr>
            <w:rStyle w:val="Hyperlink"/>
            <w:noProof/>
          </w:rPr>
          <w:t>Методы этиологической диагностики</w:t>
        </w:r>
        <w:r>
          <w:rPr>
            <w:noProof/>
            <w:webHidden/>
          </w:rPr>
          <w:tab/>
        </w:r>
        <w:r>
          <w:rPr>
            <w:noProof/>
            <w:webHidden/>
          </w:rPr>
          <w:fldChar w:fldCharType="begin"/>
        </w:r>
        <w:r>
          <w:rPr>
            <w:noProof/>
            <w:webHidden/>
          </w:rPr>
          <w:instrText xml:space="preserve"> PAGEREF _Toc374016059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0" w:history="1">
        <w:r w:rsidRPr="00DC146D">
          <w:rPr>
            <w:rStyle w:val="Hyperlink"/>
            <w:noProof/>
          </w:rPr>
          <w:t>3.3.</w:t>
        </w:r>
        <w:r>
          <w:rPr>
            <w:rFonts w:ascii="Times New Roman" w:hAnsi="Times New Roman"/>
            <w:noProof/>
            <w:sz w:val="24"/>
            <w:szCs w:val="24"/>
            <w:lang w:eastAsia="ru-RU"/>
          </w:rPr>
          <w:tab/>
        </w:r>
        <w:r w:rsidRPr="00DC146D">
          <w:rPr>
            <w:rStyle w:val="Hyperlink"/>
            <w:noProof/>
          </w:rPr>
          <w:t>Методы лучевой диагностики</w:t>
        </w:r>
        <w:r>
          <w:rPr>
            <w:noProof/>
            <w:webHidden/>
          </w:rPr>
          <w:tab/>
        </w:r>
        <w:r>
          <w:rPr>
            <w:noProof/>
            <w:webHidden/>
          </w:rPr>
          <w:fldChar w:fldCharType="begin"/>
        </w:r>
        <w:r>
          <w:rPr>
            <w:noProof/>
            <w:webHidden/>
          </w:rPr>
          <w:instrText xml:space="preserve"> PAGEREF _Toc374016060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1" w:history="1">
        <w:r w:rsidRPr="00DC146D">
          <w:rPr>
            <w:rStyle w:val="Hyperlink"/>
            <w:noProof/>
          </w:rPr>
          <w:t>3.4.</w:t>
        </w:r>
        <w:r>
          <w:rPr>
            <w:rFonts w:ascii="Times New Roman" w:hAnsi="Times New Roman"/>
            <w:noProof/>
            <w:sz w:val="24"/>
            <w:szCs w:val="24"/>
            <w:lang w:eastAsia="ru-RU"/>
          </w:rPr>
          <w:tab/>
        </w:r>
        <w:r w:rsidRPr="00DC146D">
          <w:rPr>
            <w:rStyle w:val="Hyperlink"/>
            <w:noProof/>
          </w:rPr>
          <w:t>Дифференциальная диагностика туберкулеза органов дыхания</w:t>
        </w:r>
        <w:r>
          <w:rPr>
            <w:noProof/>
            <w:webHidden/>
          </w:rPr>
          <w:tab/>
        </w:r>
        <w:r>
          <w:rPr>
            <w:noProof/>
            <w:webHidden/>
          </w:rPr>
          <w:fldChar w:fldCharType="begin"/>
        </w:r>
        <w:r>
          <w:rPr>
            <w:noProof/>
            <w:webHidden/>
          </w:rPr>
          <w:instrText xml:space="preserve"> PAGEREF _Toc374016061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1"/>
        <w:tabs>
          <w:tab w:val="left" w:pos="440"/>
          <w:tab w:val="right" w:leader="dot" w:pos="9344"/>
        </w:tabs>
        <w:rPr>
          <w:rFonts w:ascii="Times New Roman" w:hAnsi="Times New Roman"/>
          <w:noProof/>
          <w:sz w:val="24"/>
          <w:szCs w:val="24"/>
          <w:lang w:eastAsia="ru-RU"/>
        </w:rPr>
      </w:pPr>
      <w:hyperlink w:anchor="_Toc374016062" w:history="1">
        <w:r w:rsidRPr="00DC146D">
          <w:rPr>
            <w:rStyle w:val="Hyperlink"/>
            <w:noProof/>
          </w:rPr>
          <w:t>4.</w:t>
        </w:r>
        <w:r>
          <w:rPr>
            <w:rFonts w:ascii="Times New Roman" w:hAnsi="Times New Roman"/>
            <w:noProof/>
            <w:sz w:val="24"/>
            <w:szCs w:val="24"/>
            <w:lang w:eastAsia="ru-RU"/>
          </w:rPr>
          <w:tab/>
        </w:r>
        <w:r w:rsidRPr="00DC146D">
          <w:rPr>
            <w:rStyle w:val="Hyperlink"/>
            <w:noProof/>
          </w:rPr>
          <w:t>Лечение туберкулеза органов дыхания</w:t>
        </w:r>
        <w:r>
          <w:rPr>
            <w:noProof/>
            <w:webHidden/>
          </w:rPr>
          <w:tab/>
        </w:r>
        <w:r>
          <w:rPr>
            <w:noProof/>
            <w:webHidden/>
          </w:rPr>
          <w:fldChar w:fldCharType="begin"/>
        </w:r>
        <w:r>
          <w:rPr>
            <w:noProof/>
            <w:webHidden/>
          </w:rPr>
          <w:instrText xml:space="preserve"> PAGEREF _Toc374016062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3" w:history="1">
        <w:r w:rsidRPr="00DC146D">
          <w:rPr>
            <w:rStyle w:val="Hyperlink"/>
            <w:noProof/>
          </w:rPr>
          <w:t>4.1.</w:t>
        </w:r>
        <w:r>
          <w:rPr>
            <w:rFonts w:ascii="Times New Roman" w:hAnsi="Times New Roman"/>
            <w:noProof/>
            <w:sz w:val="24"/>
            <w:szCs w:val="24"/>
            <w:lang w:eastAsia="ru-RU"/>
          </w:rPr>
          <w:tab/>
        </w:r>
        <w:r w:rsidRPr="00DC146D">
          <w:rPr>
            <w:rStyle w:val="Hyperlink"/>
            <w:noProof/>
          </w:rPr>
          <w:t>Режимы химиотерапии туберкулеза</w:t>
        </w:r>
        <w:r>
          <w:rPr>
            <w:noProof/>
            <w:webHidden/>
          </w:rPr>
          <w:tab/>
        </w:r>
        <w:r>
          <w:rPr>
            <w:noProof/>
            <w:webHidden/>
          </w:rPr>
          <w:fldChar w:fldCharType="begin"/>
        </w:r>
        <w:r>
          <w:rPr>
            <w:noProof/>
            <w:webHidden/>
          </w:rPr>
          <w:instrText xml:space="preserve"> PAGEREF _Toc374016063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right" w:leader="dot" w:pos="9344"/>
        </w:tabs>
        <w:rPr>
          <w:rFonts w:ascii="Times New Roman" w:hAnsi="Times New Roman"/>
          <w:noProof/>
          <w:sz w:val="24"/>
          <w:szCs w:val="24"/>
          <w:lang w:eastAsia="ru-RU"/>
        </w:rPr>
      </w:pPr>
      <w:hyperlink w:anchor="_Toc374016064" w:history="1">
        <w:r w:rsidRPr="00DC146D">
          <w:rPr>
            <w:rStyle w:val="Hyperlink"/>
            <w:noProof/>
          </w:rPr>
          <w:t>Химиотерапия на основе результатов молекулярно-генетических методов</w:t>
        </w:r>
        <w:r>
          <w:rPr>
            <w:noProof/>
            <w:webHidden/>
          </w:rPr>
          <w:tab/>
        </w:r>
        <w:r>
          <w:rPr>
            <w:noProof/>
            <w:webHidden/>
          </w:rPr>
          <w:fldChar w:fldCharType="begin"/>
        </w:r>
        <w:r>
          <w:rPr>
            <w:noProof/>
            <w:webHidden/>
          </w:rPr>
          <w:instrText xml:space="preserve"> PAGEREF _Toc374016064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right" w:leader="dot" w:pos="9344"/>
        </w:tabs>
        <w:rPr>
          <w:rFonts w:ascii="Times New Roman" w:hAnsi="Times New Roman"/>
          <w:noProof/>
          <w:sz w:val="24"/>
          <w:szCs w:val="24"/>
          <w:lang w:eastAsia="ru-RU"/>
        </w:rPr>
      </w:pPr>
      <w:hyperlink w:anchor="_Toc374016065" w:history="1">
        <w:r w:rsidRPr="00DC146D">
          <w:rPr>
            <w:rStyle w:val="Hyperlink"/>
            <w:noProof/>
          </w:rPr>
          <w:t>Показания для направления больных туберкулезом в вышестоящую медицинскую организацию</w:t>
        </w:r>
        <w:r>
          <w:rPr>
            <w:noProof/>
            <w:webHidden/>
          </w:rPr>
          <w:tab/>
        </w:r>
        <w:r>
          <w:rPr>
            <w:noProof/>
            <w:webHidden/>
          </w:rPr>
          <w:fldChar w:fldCharType="begin"/>
        </w:r>
        <w:r>
          <w:rPr>
            <w:noProof/>
            <w:webHidden/>
          </w:rPr>
          <w:instrText xml:space="preserve"> PAGEREF _Toc374016065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6" w:history="1">
        <w:r w:rsidRPr="00DC146D">
          <w:rPr>
            <w:rStyle w:val="Hyperlink"/>
            <w:noProof/>
          </w:rPr>
          <w:t>4.2.</w:t>
        </w:r>
        <w:r>
          <w:rPr>
            <w:rFonts w:ascii="Times New Roman" w:hAnsi="Times New Roman"/>
            <w:noProof/>
            <w:sz w:val="24"/>
            <w:szCs w:val="24"/>
            <w:lang w:eastAsia="ru-RU"/>
          </w:rPr>
          <w:tab/>
        </w:r>
        <w:r w:rsidRPr="00DC146D">
          <w:rPr>
            <w:rStyle w:val="Hyperlink"/>
            <w:noProof/>
          </w:rPr>
          <w:t>Патогенетическая терапия</w:t>
        </w:r>
        <w:r>
          <w:rPr>
            <w:noProof/>
            <w:webHidden/>
          </w:rPr>
          <w:tab/>
        </w:r>
        <w:r>
          <w:rPr>
            <w:noProof/>
            <w:webHidden/>
          </w:rPr>
          <w:fldChar w:fldCharType="begin"/>
        </w:r>
        <w:r>
          <w:rPr>
            <w:noProof/>
            <w:webHidden/>
          </w:rPr>
          <w:instrText xml:space="preserve"> PAGEREF _Toc374016066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7" w:history="1">
        <w:r w:rsidRPr="00DC146D">
          <w:rPr>
            <w:rStyle w:val="Hyperlink"/>
            <w:noProof/>
          </w:rPr>
          <w:t>4.3.</w:t>
        </w:r>
        <w:r>
          <w:rPr>
            <w:rFonts w:ascii="Times New Roman" w:hAnsi="Times New Roman"/>
            <w:noProof/>
            <w:sz w:val="24"/>
            <w:szCs w:val="24"/>
            <w:lang w:eastAsia="ru-RU"/>
          </w:rPr>
          <w:tab/>
        </w:r>
        <w:r w:rsidRPr="00DC146D">
          <w:rPr>
            <w:rStyle w:val="Hyperlink"/>
            <w:noProof/>
          </w:rPr>
          <w:t>Коллапсотерпия</w:t>
        </w:r>
        <w:r>
          <w:rPr>
            <w:noProof/>
            <w:webHidden/>
          </w:rPr>
          <w:tab/>
        </w:r>
        <w:r>
          <w:rPr>
            <w:noProof/>
            <w:webHidden/>
          </w:rPr>
          <w:fldChar w:fldCharType="begin"/>
        </w:r>
        <w:r>
          <w:rPr>
            <w:noProof/>
            <w:webHidden/>
          </w:rPr>
          <w:instrText xml:space="preserve"> PAGEREF _Toc374016067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8" w:history="1">
        <w:r w:rsidRPr="00DC146D">
          <w:rPr>
            <w:rStyle w:val="Hyperlink"/>
            <w:noProof/>
          </w:rPr>
          <w:t>4.4.</w:t>
        </w:r>
        <w:r>
          <w:rPr>
            <w:rFonts w:ascii="Times New Roman" w:hAnsi="Times New Roman"/>
            <w:noProof/>
            <w:sz w:val="24"/>
            <w:szCs w:val="24"/>
            <w:lang w:eastAsia="ru-RU"/>
          </w:rPr>
          <w:tab/>
        </w:r>
        <w:r w:rsidRPr="00DC146D">
          <w:rPr>
            <w:rStyle w:val="Hyperlink"/>
            <w:noProof/>
          </w:rPr>
          <w:t>Хирургическое лечение</w:t>
        </w:r>
        <w:r>
          <w:rPr>
            <w:noProof/>
            <w:webHidden/>
          </w:rPr>
          <w:tab/>
        </w:r>
        <w:r>
          <w:rPr>
            <w:noProof/>
            <w:webHidden/>
          </w:rPr>
          <w:fldChar w:fldCharType="begin"/>
        </w:r>
        <w:r>
          <w:rPr>
            <w:noProof/>
            <w:webHidden/>
          </w:rPr>
          <w:instrText xml:space="preserve"> PAGEREF _Toc374016068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69" w:history="1">
        <w:r w:rsidRPr="00DC146D">
          <w:rPr>
            <w:rStyle w:val="Hyperlink"/>
            <w:noProof/>
          </w:rPr>
          <w:t>4.5.</w:t>
        </w:r>
        <w:r>
          <w:rPr>
            <w:rFonts w:ascii="Times New Roman" w:hAnsi="Times New Roman"/>
            <w:noProof/>
            <w:sz w:val="24"/>
            <w:szCs w:val="24"/>
            <w:lang w:eastAsia="ru-RU"/>
          </w:rPr>
          <w:tab/>
        </w:r>
        <w:r w:rsidRPr="00DC146D">
          <w:rPr>
            <w:rStyle w:val="Hyperlink"/>
            <w:noProof/>
          </w:rPr>
          <w:t>Особые ситуации при лечении туберкулеза</w:t>
        </w:r>
        <w:r>
          <w:rPr>
            <w:noProof/>
            <w:webHidden/>
          </w:rPr>
          <w:tab/>
        </w:r>
        <w:r>
          <w:rPr>
            <w:noProof/>
            <w:webHidden/>
          </w:rPr>
          <w:fldChar w:fldCharType="begin"/>
        </w:r>
        <w:r>
          <w:rPr>
            <w:noProof/>
            <w:webHidden/>
          </w:rPr>
          <w:instrText xml:space="preserve"> PAGEREF _Toc374016069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70" w:history="1">
        <w:r w:rsidRPr="00DC146D">
          <w:rPr>
            <w:rStyle w:val="Hyperlink"/>
            <w:noProof/>
          </w:rPr>
          <w:t>4.6.</w:t>
        </w:r>
        <w:r>
          <w:rPr>
            <w:rFonts w:ascii="Times New Roman" w:hAnsi="Times New Roman"/>
            <w:noProof/>
            <w:sz w:val="24"/>
            <w:szCs w:val="24"/>
            <w:lang w:eastAsia="ru-RU"/>
          </w:rPr>
          <w:tab/>
        </w:r>
        <w:r w:rsidRPr="00DC146D">
          <w:rPr>
            <w:rStyle w:val="Hyperlink"/>
            <w:noProof/>
          </w:rPr>
          <w:t>Побочные действия</w:t>
        </w:r>
        <w:r>
          <w:rPr>
            <w:noProof/>
            <w:webHidden/>
          </w:rPr>
          <w:tab/>
        </w:r>
        <w:r>
          <w:rPr>
            <w:noProof/>
            <w:webHidden/>
          </w:rPr>
          <w:fldChar w:fldCharType="begin"/>
        </w:r>
        <w:r>
          <w:rPr>
            <w:noProof/>
            <w:webHidden/>
          </w:rPr>
          <w:instrText xml:space="preserve"> PAGEREF _Toc374016070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71" w:history="1">
        <w:r w:rsidRPr="00DC146D">
          <w:rPr>
            <w:rStyle w:val="Hyperlink"/>
            <w:noProof/>
          </w:rPr>
          <w:t>4.7.</w:t>
        </w:r>
        <w:r>
          <w:rPr>
            <w:rFonts w:ascii="Times New Roman" w:hAnsi="Times New Roman"/>
            <w:noProof/>
            <w:sz w:val="24"/>
            <w:szCs w:val="24"/>
            <w:lang w:eastAsia="ru-RU"/>
          </w:rPr>
          <w:tab/>
        </w:r>
        <w:r w:rsidRPr="00DC146D">
          <w:rPr>
            <w:rStyle w:val="Hyperlink"/>
            <w:noProof/>
          </w:rPr>
          <w:t>Химиопрофилактика туберкулеза у больных ВИЧ-инфекцией</w:t>
        </w:r>
        <w:r>
          <w:rPr>
            <w:noProof/>
            <w:webHidden/>
          </w:rPr>
          <w:tab/>
        </w:r>
        <w:r>
          <w:rPr>
            <w:noProof/>
            <w:webHidden/>
          </w:rPr>
          <w:fldChar w:fldCharType="begin"/>
        </w:r>
        <w:r>
          <w:rPr>
            <w:noProof/>
            <w:webHidden/>
          </w:rPr>
          <w:instrText xml:space="preserve"> PAGEREF _Toc374016071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2"/>
        <w:tabs>
          <w:tab w:val="left" w:pos="960"/>
          <w:tab w:val="right" w:leader="dot" w:pos="9344"/>
        </w:tabs>
        <w:rPr>
          <w:rFonts w:ascii="Times New Roman" w:hAnsi="Times New Roman"/>
          <w:noProof/>
          <w:sz w:val="24"/>
          <w:szCs w:val="24"/>
          <w:lang w:eastAsia="ru-RU"/>
        </w:rPr>
      </w:pPr>
      <w:hyperlink w:anchor="_Toc374016072" w:history="1">
        <w:r w:rsidRPr="00DC146D">
          <w:rPr>
            <w:rStyle w:val="Hyperlink"/>
            <w:noProof/>
          </w:rPr>
          <w:t>4.8.</w:t>
        </w:r>
        <w:r>
          <w:rPr>
            <w:rFonts w:ascii="Times New Roman" w:hAnsi="Times New Roman"/>
            <w:noProof/>
            <w:sz w:val="24"/>
            <w:szCs w:val="24"/>
            <w:lang w:eastAsia="ru-RU"/>
          </w:rPr>
          <w:tab/>
        </w:r>
        <w:r w:rsidRPr="00DC146D">
          <w:rPr>
            <w:rStyle w:val="Hyperlink"/>
            <w:noProof/>
          </w:rPr>
          <w:t>Организация мониторинга за лечением туберкулеза</w:t>
        </w:r>
        <w:r>
          <w:rPr>
            <w:noProof/>
            <w:webHidden/>
          </w:rPr>
          <w:tab/>
        </w:r>
        <w:r>
          <w:rPr>
            <w:noProof/>
            <w:webHidden/>
          </w:rPr>
          <w:fldChar w:fldCharType="begin"/>
        </w:r>
        <w:r>
          <w:rPr>
            <w:noProof/>
            <w:webHidden/>
          </w:rPr>
          <w:instrText xml:space="preserve"> PAGEREF _Toc374016072 \h </w:instrText>
        </w:r>
        <w:r>
          <w:rPr>
            <w:noProof/>
          </w:rPr>
        </w:r>
        <w:r>
          <w:rPr>
            <w:noProof/>
            <w:webHidden/>
          </w:rPr>
          <w:fldChar w:fldCharType="separate"/>
        </w:r>
        <w:r>
          <w:rPr>
            <w:noProof/>
            <w:webHidden/>
          </w:rPr>
          <w:t>4</w:t>
        </w:r>
        <w:r>
          <w:rPr>
            <w:noProof/>
            <w:webHidden/>
          </w:rPr>
          <w:fldChar w:fldCharType="end"/>
        </w:r>
      </w:hyperlink>
    </w:p>
    <w:p w:rsidR="00A97587" w:rsidRDefault="00A97587">
      <w:pPr>
        <w:pStyle w:val="TOC1"/>
        <w:tabs>
          <w:tab w:val="left" w:pos="440"/>
          <w:tab w:val="right" w:leader="dot" w:pos="9344"/>
        </w:tabs>
        <w:rPr>
          <w:rFonts w:ascii="Times New Roman" w:hAnsi="Times New Roman"/>
          <w:noProof/>
          <w:sz w:val="24"/>
          <w:szCs w:val="24"/>
          <w:lang w:eastAsia="ru-RU"/>
        </w:rPr>
      </w:pPr>
      <w:hyperlink w:anchor="_Toc374016073" w:history="1">
        <w:r w:rsidRPr="00DC146D">
          <w:rPr>
            <w:rStyle w:val="Hyperlink"/>
            <w:noProof/>
          </w:rPr>
          <w:t>5.</w:t>
        </w:r>
        <w:r>
          <w:rPr>
            <w:rFonts w:ascii="Times New Roman" w:hAnsi="Times New Roman"/>
            <w:noProof/>
            <w:sz w:val="24"/>
            <w:szCs w:val="24"/>
            <w:lang w:eastAsia="ru-RU"/>
          </w:rPr>
          <w:tab/>
        </w:r>
        <w:r w:rsidRPr="00DC146D">
          <w:rPr>
            <w:rStyle w:val="Hyperlink"/>
            <w:noProof/>
          </w:rPr>
          <w:t>Список литературы</w:t>
        </w:r>
        <w:r>
          <w:rPr>
            <w:noProof/>
            <w:webHidden/>
          </w:rPr>
          <w:tab/>
        </w:r>
        <w:r>
          <w:rPr>
            <w:noProof/>
            <w:webHidden/>
          </w:rPr>
          <w:fldChar w:fldCharType="begin"/>
        </w:r>
        <w:r>
          <w:rPr>
            <w:noProof/>
            <w:webHidden/>
          </w:rPr>
          <w:instrText xml:space="preserve"> PAGEREF _Toc374016073 \h </w:instrText>
        </w:r>
        <w:r>
          <w:rPr>
            <w:noProof/>
          </w:rPr>
        </w:r>
        <w:r>
          <w:rPr>
            <w:noProof/>
            <w:webHidden/>
          </w:rPr>
          <w:fldChar w:fldCharType="separate"/>
        </w:r>
        <w:r>
          <w:rPr>
            <w:noProof/>
            <w:webHidden/>
          </w:rPr>
          <w:t>4</w:t>
        </w:r>
        <w:r>
          <w:rPr>
            <w:noProof/>
            <w:webHidden/>
          </w:rPr>
          <w:fldChar w:fldCharType="end"/>
        </w:r>
      </w:hyperlink>
    </w:p>
    <w:p w:rsidR="00A97587" w:rsidRPr="003F52C2" w:rsidRDefault="00A97587" w:rsidP="000B4017">
      <w:pPr>
        <w:pStyle w:val="Title"/>
      </w:pPr>
      <w:r>
        <w:rPr>
          <w:b w:val="0"/>
          <w:bCs w:val="0"/>
        </w:rPr>
        <w:fldChar w:fldCharType="end"/>
      </w:r>
    </w:p>
    <w:p w:rsidR="00A97587" w:rsidRDefault="00A97587" w:rsidP="000B4017">
      <w:pPr>
        <w:spacing w:after="0" w:line="240" w:lineRule="auto"/>
        <w:ind w:left="360"/>
        <w:jc w:val="center"/>
        <w:rPr>
          <w:b/>
          <w:lang w:val="en-US"/>
        </w:rPr>
      </w:pPr>
    </w:p>
    <w:p w:rsidR="00A97587" w:rsidRDefault="00A97587" w:rsidP="000B4017">
      <w:pPr>
        <w:spacing w:after="0" w:line="240" w:lineRule="auto"/>
        <w:ind w:left="360"/>
        <w:jc w:val="center"/>
        <w:rPr>
          <w:b/>
          <w:lang w:val="en-US"/>
        </w:rPr>
      </w:pPr>
    </w:p>
    <w:p w:rsidR="00A97587" w:rsidRDefault="00A97587" w:rsidP="000B4017">
      <w:pPr>
        <w:spacing w:after="0" w:line="240" w:lineRule="auto"/>
        <w:ind w:left="360"/>
        <w:jc w:val="center"/>
        <w:rPr>
          <w:b/>
          <w:lang w:val="en-US"/>
        </w:rPr>
      </w:pPr>
    </w:p>
    <w:p w:rsidR="00A97587" w:rsidRDefault="00A97587" w:rsidP="000B4017">
      <w:pPr>
        <w:spacing w:after="0" w:line="240" w:lineRule="auto"/>
        <w:ind w:left="360"/>
        <w:jc w:val="center"/>
        <w:rPr>
          <w:b/>
          <w:lang w:val="en-US"/>
        </w:rPr>
      </w:pPr>
    </w:p>
    <w:p w:rsidR="00A97587" w:rsidRPr="00A0111B" w:rsidRDefault="00A97587" w:rsidP="000B4017">
      <w:pPr>
        <w:spacing w:after="0" w:line="240" w:lineRule="auto"/>
        <w:ind w:left="360"/>
        <w:jc w:val="center"/>
        <w:rPr>
          <w:b/>
          <w:lang w:val="en-US"/>
        </w:rPr>
      </w:pPr>
    </w:p>
    <w:p w:rsidR="00A97587" w:rsidRPr="004D6B46" w:rsidRDefault="00A97587" w:rsidP="000B4017">
      <w:pPr>
        <w:pStyle w:val="Heading1"/>
        <w:numPr>
          <w:ilvl w:val="0"/>
          <w:numId w:val="16"/>
        </w:numPr>
        <w:ind w:left="0" w:firstLine="0"/>
      </w:pPr>
      <w:bookmarkStart w:id="2" w:name="_Toc373847342"/>
      <w:bookmarkStart w:id="3" w:name="_Toc374016055"/>
      <w:r w:rsidRPr="004D6B46">
        <w:t>Методология</w:t>
      </w:r>
      <w:bookmarkEnd w:id="2"/>
      <w:bookmarkEnd w:id="3"/>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Методы, использованные для сбора/селекции доказательств:</w:t>
      </w:r>
    </w:p>
    <w:p w:rsidR="00A97587" w:rsidRPr="00192261" w:rsidRDefault="00A97587" w:rsidP="000B4017">
      <w:pPr>
        <w:pStyle w:val="BodyText"/>
        <w:rPr>
          <w:i/>
          <w:lang w:val="ru-RU"/>
        </w:rPr>
      </w:pPr>
      <w:r w:rsidRPr="00192261">
        <w:rPr>
          <w:i/>
          <w:lang w:val="ru-RU"/>
        </w:rPr>
        <w:t xml:space="preserve">Поиск информации: </w:t>
      </w:r>
      <w:r w:rsidRPr="00192261">
        <w:rPr>
          <w:lang w:val="ru-RU"/>
        </w:rPr>
        <w:t xml:space="preserve">поиск в электронных базах данных: </w:t>
      </w:r>
      <w:r w:rsidRPr="004D6B46">
        <w:t>PubMed</w:t>
      </w:r>
      <w:r w:rsidRPr="00192261">
        <w:rPr>
          <w:lang w:val="ru-RU"/>
        </w:rPr>
        <w:t xml:space="preserve">, </w:t>
      </w:r>
      <w:r w:rsidRPr="004D6B46">
        <w:t>Scopus</w:t>
      </w:r>
      <w:r w:rsidRPr="00192261">
        <w:rPr>
          <w:lang w:val="ru-RU"/>
        </w:rPr>
        <w:t xml:space="preserve">, </w:t>
      </w:r>
      <w:r w:rsidRPr="004D6B46">
        <w:t>E</w:t>
      </w:r>
      <w:r w:rsidRPr="00192261">
        <w:rPr>
          <w:lang w:val="ru-RU"/>
        </w:rPr>
        <w:t>-</w:t>
      </w:r>
      <w:r w:rsidRPr="004D6B46">
        <w:t>library</w:t>
      </w:r>
      <w:r w:rsidRPr="00192261">
        <w:rPr>
          <w:lang w:val="ru-RU"/>
        </w:rPr>
        <w:t xml:space="preserve">,  </w:t>
      </w:r>
      <w:r w:rsidRPr="004D6B46">
        <w:t>EMBASE</w:t>
      </w:r>
      <w:r w:rsidRPr="00192261">
        <w:rPr>
          <w:lang w:val="ru-RU"/>
        </w:rPr>
        <w:t xml:space="preserve"> и </w:t>
      </w:r>
      <w:r w:rsidRPr="004D6B46">
        <w:t>MEDLINE</w:t>
      </w:r>
      <w:r w:rsidRPr="00192261">
        <w:rPr>
          <w:lang w:val="ru-RU"/>
        </w:rPr>
        <w:t>. Глубина поиска составила  5 лет.</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Методы, использованные для оценки качества и силы доказательств:</w:t>
      </w:r>
    </w:p>
    <w:p w:rsidR="00A97587" w:rsidRPr="00192261" w:rsidRDefault="00A97587" w:rsidP="000B4017">
      <w:pPr>
        <w:pStyle w:val="BodyText"/>
        <w:rPr>
          <w:lang w:val="ru-RU"/>
        </w:rPr>
      </w:pPr>
      <w:r w:rsidRPr="00192261">
        <w:rPr>
          <w:lang w:val="ru-RU"/>
        </w:rPr>
        <w:t>-Консенсус экспертов</w:t>
      </w:r>
    </w:p>
    <w:p w:rsidR="00A97587" w:rsidRPr="00192261" w:rsidRDefault="00A97587" w:rsidP="000B4017">
      <w:pPr>
        <w:pStyle w:val="BodyText"/>
        <w:rPr>
          <w:lang w:val="ru-RU"/>
        </w:rPr>
      </w:pPr>
      <w:r w:rsidRPr="00192261">
        <w:rPr>
          <w:lang w:val="ru-RU"/>
        </w:rPr>
        <w:t>-Оценка значимости в соответствии с рейтинговой системой (схема прилагается).</w:t>
      </w:r>
    </w:p>
    <w:p w:rsidR="00A97587" w:rsidRPr="004D6B46" w:rsidRDefault="00A97587" w:rsidP="000B4017">
      <w:pPr>
        <w:spacing w:line="240" w:lineRule="auto"/>
        <w:ind w:left="360"/>
        <w:jc w:val="right"/>
        <w:rPr>
          <w:b/>
          <w:sz w:val="24"/>
          <w:szCs w:val="24"/>
        </w:rPr>
      </w:pPr>
      <w:r w:rsidRPr="004D6B46">
        <w:rPr>
          <w:b/>
          <w:sz w:val="24"/>
          <w:szCs w:val="24"/>
        </w:rPr>
        <w:t>Таблица 1</w:t>
      </w:r>
    </w:p>
    <w:p w:rsidR="00A97587" w:rsidRPr="003F52C2" w:rsidRDefault="00A97587" w:rsidP="000B4017">
      <w:pPr>
        <w:spacing w:line="240" w:lineRule="auto"/>
        <w:ind w:left="360"/>
        <w:jc w:val="center"/>
        <w:rPr>
          <w:b/>
        </w:rPr>
      </w:pPr>
      <w:r w:rsidRPr="004D6B46">
        <w:rPr>
          <w:b/>
          <w:sz w:val="24"/>
          <w:szCs w:val="24"/>
        </w:rPr>
        <w:t>Рейтинговая система для оценки силы рекомендаций</w:t>
      </w:r>
      <w:r w:rsidRPr="003F52C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A97587" w:rsidRPr="003F52C2" w:rsidTr="002C7D0F">
        <w:tc>
          <w:tcPr>
            <w:tcW w:w="2088" w:type="dxa"/>
          </w:tcPr>
          <w:p w:rsidR="00A97587" w:rsidRPr="003F52C2" w:rsidRDefault="00A97587" w:rsidP="002C7D0F">
            <w:pPr>
              <w:spacing w:after="0" w:line="240" w:lineRule="auto"/>
              <w:jc w:val="center"/>
              <w:rPr>
                <w:sz w:val="20"/>
                <w:szCs w:val="20"/>
                <w:lang w:eastAsia="ru-RU"/>
              </w:rPr>
            </w:pPr>
            <w:r w:rsidRPr="003F52C2">
              <w:rPr>
                <w:sz w:val="20"/>
                <w:szCs w:val="20"/>
                <w:lang w:eastAsia="ru-RU"/>
              </w:rPr>
              <w:t>Уровни доказательств</w:t>
            </w:r>
          </w:p>
        </w:tc>
        <w:tc>
          <w:tcPr>
            <w:tcW w:w="7482" w:type="dxa"/>
          </w:tcPr>
          <w:p w:rsidR="00A97587" w:rsidRPr="003F52C2" w:rsidRDefault="00A97587" w:rsidP="002C7D0F">
            <w:pPr>
              <w:spacing w:after="0" w:line="240" w:lineRule="auto"/>
              <w:jc w:val="center"/>
              <w:rPr>
                <w:sz w:val="20"/>
                <w:szCs w:val="20"/>
                <w:lang w:eastAsia="ru-RU"/>
              </w:rPr>
            </w:pPr>
            <w:r w:rsidRPr="003F52C2">
              <w:rPr>
                <w:sz w:val="20"/>
                <w:szCs w:val="20"/>
                <w:lang w:eastAsia="ru-RU"/>
              </w:rPr>
              <w:t>Описание</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1++</w:t>
            </w:r>
          </w:p>
        </w:tc>
        <w:tc>
          <w:tcPr>
            <w:tcW w:w="7482" w:type="dxa"/>
          </w:tcPr>
          <w:p w:rsidR="00A97587" w:rsidRPr="004D6B46" w:rsidRDefault="00A97587" w:rsidP="002C7D0F">
            <w:pPr>
              <w:spacing w:after="0" w:line="240" w:lineRule="auto"/>
              <w:rPr>
                <w:lang w:eastAsia="ru-RU"/>
              </w:rPr>
            </w:pPr>
            <w:r w:rsidRPr="004D6B46">
              <w:rPr>
                <w:lang w:eastAsia="ru-RU"/>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1+</w:t>
            </w:r>
          </w:p>
        </w:tc>
        <w:tc>
          <w:tcPr>
            <w:tcW w:w="7482" w:type="dxa"/>
          </w:tcPr>
          <w:p w:rsidR="00A97587" w:rsidRPr="004D6B46" w:rsidRDefault="00A97587" w:rsidP="002C7D0F">
            <w:pPr>
              <w:spacing w:after="0" w:line="240" w:lineRule="auto"/>
              <w:rPr>
                <w:lang w:eastAsia="ru-RU"/>
              </w:rPr>
            </w:pPr>
            <w:r w:rsidRPr="004D6B46">
              <w:rPr>
                <w:lang w:eastAsia="ru-RU"/>
              </w:rPr>
              <w:t>Качественно проведенные мета-анализы, систематические, или РКИ с низким риском систематических ошибок</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1-</w:t>
            </w:r>
          </w:p>
        </w:tc>
        <w:tc>
          <w:tcPr>
            <w:tcW w:w="7482" w:type="dxa"/>
          </w:tcPr>
          <w:p w:rsidR="00A97587" w:rsidRPr="004D6B46" w:rsidRDefault="00A97587" w:rsidP="002C7D0F">
            <w:pPr>
              <w:spacing w:after="0" w:line="240" w:lineRule="auto"/>
              <w:rPr>
                <w:lang w:eastAsia="ru-RU"/>
              </w:rPr>
            </w:pPr>
            <w:r w:rsidRPr="004D6B46">
              <w:rPr>
                <w:lang w:eastAsia="ru-RU"/>
              </w:rPr>
              <w:t>Мета-анализы, систематические или РКИ с высоким риском систематических ошибок</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2++</w:t>
            </w:r>
          </w:p>
        </w:tc>
        <w:tc>
          <w:tcPr>
            <w:tcW w:w="7482" w:type="dxa"/>
          </w:tcPr>
          <w:p w:rsidR="00A97587" w:rsidRPr="004D6B46" w:rsidRDefault="00A97587" w:rsidP="002C7D0F">
            <w:pPr>
              <w:spacing w:after="0" w:line="240" w:lineRule="auto"/>
              <w:rPr>
                <w:lang w:eastAsia="ru-RU"/>
              </w:rPr>
            </w:pPr>
            <w:r w:rsidRPr="004D6B46">
              <w:rPr>
                <w:lang w:eastAsia="ru-RU"/>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2+</w:t>
            </w:r>
          </w:p>
        </w:tc>
        <w:tc>
          <w:tcPr>
            <w:tcW w:w="7482" w:type="dxa"/>
          </w:tcPr>
          <w:p w:rsidR="00A97587" w:rsidRPr="004D6B46" w:rsidRDefault="00A97587" w:rsidP="002C7D0F">
            <w:pPr>
              <w:spacing w:after="0" w:line="240" w:lineRule="auto"/>
              <w:rPr>
                <w:lang w:eastAsia="ru-RU"/>
              </w:rPr>
            </w:pPr>
            <w:r w:rsidRPr="004D6B46">
              <w:rPr>
                <w:lang w:eastAsia="ru-RU"/>
              </w:rPr>
              <w:t>Хорошо проведенные исследования случай-контроль или когортные исследования со средним риском</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2-</w:t>
            </w:r>
          </w:p>
        </w:tc>
        <w:tc>
          <w:tcPr>
            <w:tcW w:w="7482" w:type="dxa"/>
          </w:tcPr>
          <w:p w:rsidR="00A97587" w:rsidRPr="004D6B46" w:rsidRDefault="00A97587" w:rsidP="002C7D0F">
            <w:pPr>
              <w:spacing w:after="0" w:line="240" w:lineRule="auto"/>
              <w:rPr>
                <w:lang w:eastAsia="ru-RU"/>
              </w:rPr>
            </w:pPr>
            <w:r w:rsidRPr="004D6B46">
              <w:rPr>
                <w:lang w:eastAsia="ru-RU"/>
              </w:rPr>
              <w:t xml:space="preserve">Исследования случай-контроль или когортные исследования с высоким риском эффектов смешивания или систематических ошибок </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3</w:t>
            </w:r>
          </w:p>
        </w:tc>
        <w:tc>
          <w:tcPr>
            <w:tcW w:w="7482" w:type="dxa"/>
          </w:tcPr>
          <w:p w:rsidR="00A97587" w:rsidRPr="004D6B46" w:rsidRDefault="00A97587" w:rsidP="002C7D0F">
            <w:pPr>
              <w:spacing w:after="0" w:line="240" w:lineRule="auto"/>
              <w:rPr>
                <w:lang w:eastAsia="ru-RU"/>
              </w:rPr>
            </w:pPr>
            <w:r w:rsidRPr="004D6B46">
              <w:rPr>
                <w:lang w:eastAsia="ru-RU"/>
              </w:rPr>
              <w:t>Не аналитические исследования (например: описания случаев, серий случаев)</w:t>
            </w:r>
          </w:p>
        </w:tc>
      </w:tr>
      <w:tr w:rsidR="00A97587" w:rsidRPr="003F52C2" w:rsidTr="002C7D0F">
        <w:tc>
          <w:tcPr>
            <w:tcW w:w="2088" w:type="dxa"/>
          </w:tcPr>
          <w:p w:rsidR="00A97587" w:rsidRPr="004D6B46" w:rsidRDefault="00A97587" w:rsidP="002C7D0F">
            <w:pPr>
              <w:spacing w:after="0" w:line="240" w:lineRule="auto"/>
              <w:rPr>
                <w:lang w:eastAsia="ru-RU"/>
              </w:rPr>
            </w:pPr>
            <w:r w:rsidRPr="004D6B46">
              <w:rPr>
                <w:lang w:eastAsia="ru-RU"/>
              </w:rPr>
              <w:t>4</w:t>
            </w:r>
          </w:p>
        </w:tc>
        <w:tc>
          <w:tcPr>
            <w:tcW w:w="7482" w:type="dxa"/>
          </w:tcPr>
          <w:p w:rsidR="00A97587" w:rsidRPr="004D6B46" w:rsidRDefault="00A97587" w:rsidP="002C7D0F">
            <w:pPr>
              <w:spacing w:after="0" w:line="240" w:lineRule="auto"/>
              <w:rPr>
                <w:lang w:eastAsia="ru-RU"/>
              </w:rPr>
            </w:pPr>
            <w:r w:rsidRPr="004D6B46">
              <w:rPr>
                <w:lang w:eastAsia="ru-RU"/>
              </w:rPr>
              <w:t>Мнение экспертов</w:t>
            </w:r>
          </w:p>
        </w:tc>
      </w:tr>
    </w:tbl>
    <w:p w:rsidR="00A97587" w:rsidRPr="003F52C2" w:rsidRDefault="00A97587" w:rsidP="000B4017">
      <w:pPr>
        <w:spacing w:line="240" w:lineRule="auto"/>
        <w:ind w:left="360"/>
      </w:pP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Методы, использованные для анализа доказательств:</w:t>
      </w:r>
    </w:p>
    <w:p w:rsidR="00A97587" w:rsidRPr="00192261" w:rsidRDefault="00A97587" w:rsidP="000B4017">
      <w:pPr>
        <w:pStyle w:val="BodyText"/>
        <w:rPr>
          <w:lang w:val="ru-RU"/>
        </w:rPr>
      </w:pPr>
      <w:r w:rsidRPr="00192261">
        <w:rPr>
          <w:lang w:val="ru-RU"/>
        </w:rPr>
        <w:t>- Обзоры опубликованных мета-анализов</w:t>
      </w:r>
    </w:p>
    <w:p w:rsidR="00A97587" w:rsidRPr="00192261" w:rsidRDefault="00A97587" w:rsidP="000B4017">
      <w:pPr>
        <w:pStyle w:val="BodyText"/>
        <w:rPr>
          <w:lang w:val="ru-RU"/>
        </w:rPr>
      </w:pPr>
      <w:r w:rsidRPr="00192261">
        <w:rPr>
          <w:lang w:val="ru-RU"/>
        </w:rPr>
        <w:t>- Систематические обзоры с таблицами доказательств</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Описание методов, использованных для анализа доказательств:</w:t>
      </w:r>
    </w:p>
    <w:p w:rsidR="00A97587" w:rsidRPr="00192261" w:rsidRDefault="00A97587" w:rsidP="000B4017">
      <w:pPr>
        <w:pStyle w:val="BodyText"/>
        <w:rPr>
          <w:lang w:val="ru-RU"/>
        </w:rPr>
      </w:pPr>
      <w:r w:rsidRPr="00192261">
        <w:rPr>
          <w:lang w:val="ru-RU"/>
        </w:rPr>
        <w:t>При отборе публикаций, как потенциальных источников доказательств, использованная в каждом исследования методология изучается для того, чтобы убедится в ее валидности.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A97587" w:rsidRPr="00192261" w:rsidRDefault="00A97587" w:rsidP="000B4017">
      <w:pPr>
        <w:pStyle w:val="BodyText"/>
        <w:rPr>
          <w:lang w:val="ru-RU"/>
        </w:rPr>
      </w:pPr>
      <w:r w:rsidRPr="00192261">
        <w:rPr>
          <w:lang w:val="ru-RU"/>
        </w:rPr>
        <w:t xml:space="preserve">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валидность результатов и выводов. </w:t>
      </w:r>
    </w:p>
    <w:p w:rsidR="00A97587" w:rsidRPr="00192261" w:rsidRDefault="00A97587" w:rsidP="000B4017">
      <w:pPr>
        <w:pStyle w:val="BodyText"/>
        <w:rPr>
          <w:lang w:val="ru-RU"/>
        </w:rPr>
      </w:pPr>
      <w:r w:rsidRPr="00192261">
        <w:rPr>
          <w:lang w:val="ru-RU"/>
        </w:rPr>
        <w:t>На процессе оценки несомненно может сказываться и субъективный фактор. 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обсуждались уже всей группой в полном составе. При невозможности достижения консенсуса, привлекался независимый эксперт.</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Таблица доказательств:</w:t>
      </w:r>
    </w:p>
    <w:p w:rsidR="00A97587" w:rsidRPr="00192261" w:rsidRDefault="00A97587" w:rsidP="000B4017">
      <w:pPr>
        <w:pStyle w:val="BodyText"/>
        <w:rPr>
          <w:lang w:val="ru-RU"/>
        </w:rPr>
      </w:pPr>
      <w:r w:rsidRPr="00192261">
        <w:rPr>
          <w:lang w:val="ru-RU"/>
        </w:rPr>
        <w:t>Таблицы доказательств заполнялись членами рабочей группы.</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Методы, использованные для формулирования рекомендаций:</w:t>
      </w:r>
    </w:p>
    <w:p w:rsidR="00A97587" w:rsidRPr="00192261" w:rsidRDefault="00A97587" w:rsidP="000B4017">
      <w:pPr>
        <w:pStyle w:val="BodyText"/>
        <w:rPr>
          <w:lang w:val="ru-RU"/>
        </w:rPr>
      </w:pPr>
      <w:r w:rsidRPr="00192261">
        <w:rPr>
          <w:lang w:val="ru-RU"/>
        </w:rPr>
        <w:t>Консенсус экспертов.</w:t>
      </w:r>
    </w:p>
    <w:p w:rsidR="00A97587" w:rsidRPr="004D6B46" w:rsidRDefault="00A97587" w:rsidP="000B4017">
      <w:pPr>
        <w:spacing w:line="240" w:lineRule="auto"/>
        <w:ind w:left="360"/>
        <w:jc w:val="right"/>
        <w:rPr>
          <w:b/>
          <w:sz w:val="24"/>
          <w:szCs w:val="24"/>
        </w:rPr>
      </w:pPr>
      <w:r w:rsidRPr="004D6B46">
        <w:rPr>
          <w:b/>
          <w:sz w:val="24"/>
          <w:szCs w:val="24"/>
        </w:rPr>
        <w:t>Таблица 2</w:t>
      </w:r>
    </w:p>
    <w:p w:rsidR="00A97587" w:rsidRPr="004D6B46" w:rsidRDefault="00A97587" w:rsidP="000B4017">
      <w:pPr>
        <w:spacing w:line="240" w:lineRule="auto"/>
        <w:ind w:left="360"/>
        <w:jc w:val="center"/>
        <w:rPr>
          <w:b/>
          <w:sz w:val="24"/>
          <w:szCs w:val="24"/>
        </w:rPr>
      </w:pPr>
      <w:r w:rsidRPr="004D6B46">
        <w:rPr>
          <w:b/>
          <w:sz w:val="24"/>
          <w:szCs w:val="24"/>
        </w:rPr>
        <w:t>Рейтинговая схема для оценки силы рекомендаций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A97587" w:rsidRPr="003F52C2" w:rsidTr="002C7D0F">
        <w:tc>
          <w:tcPr>
            <w:tcW w:w="1188" w:type="dxa"/>
          </w:tcPr>
          <w:p w:rsidR="00A97587" w:rsidRPr="003F52C2" w:rsidRDefault="00A97587" w:rsidP="002C7D0F">
            <w:pPr>
              <w:spacing w:after="0" w:line="240" w:lineRule="auto"/>
              <w:rPr>
                <w:sz w:val="20"/>
                <w:szCs w:val="20"/>
                <w:lang w:eastAsia="ru-RU"/>
              </w:rPr>
            </w:pPr>
            <w:r w:rsidRPr="003F52C2">
              <w:rPr>
                <w:sz w:val="20"/>
                <w:szCs w:val="20"/>
                <w:lang w:eastAsia="ru-RU"/>
              </w:rPr>
              <w:t>Сила</w:t>
            </w:r>
          </w:p>
        </w:tc>
        <w:tc>
          <w:tcPr>
            <w:tcW w:w="8382" w:type="dxa"/>
          </w:tcPr>
          <w:p w:rsidR="00A97587" w:rsidRPr="003F52C2" w:rsidRDefault="00A97587" w:rsidP="002C7D0F">
            <w:pPr>
              <w:spacing w:after="0" w:line="240" w:lineRule="auto"/>
              <w:rPr>
                <w:sz w:val="20"/>
                <w:szCs w:val="20"/>
                <w:lang w:eastAsia="ru-RU"/>
              </w:rPr>
            </w:pPr>
            <w:r w:rsidRPr="003F52C2">
              <w:rPr>
                <w:sz w:val="20"/>
                <w:szCs w:val="20"/>
                <w:lang w:eastAsia="ru-RU"/>
              </w:rPr>
              <w:t>Описание</w:t>
            </w:r>
          </w:p>
        </w:tc>
      </w:tr>
      <w:tr w:rsidR="00A97587" w:rsidRPr="003F52C2" w:rsidTr="002C7D0F">
        <w:tc>
          <w:tcPr>
            <w:tcW w:w="1188" w:type="dxa"/>
          </w:tcPr>
          <w:p w:rsidR="00A97587" w:rsidRPr="004D6B46" w:rsidRDefault="00A97587" w:rsidP="002C7D0F">
            <w:pPr>
              <w:spacing w:after="0" w:line="240" w:lineRule="auto"/>
              <w:rPr>
                <w:lang w:val="en-US" w:eastAsia="ru-RU"/>
              </w:rPr>
            </w:pPr>
            <w:r w:rsidRPr="004D6B46">
              <w:rPr>
                <w:lang w:val="en-US" w:eastAsia="ru-RU"/>
              </w:rPr>
              <w:t>A</w:t>
            </w:r>
          </w:p>
        </w:tc>
        <w:tc>
          <w:tcPr>
            <w:tcW w:w="8382" w:type="dxa"/>
          </w:tcPr>
          <w:p w:rsidR="00A97587" w:rsidRPr="004D6B46" w:rsidRDefault="00A97587" w:rsidP="002C7D0F">
            <w:pPr>
              <w:spacing w:after="0" w:line="240" w:lineRule="auto"/>
              <w:rPr>
                <w:lang w:eastAsia="ru-RU"/>
              </w:rPr>
            </w:pPr>
            <w:r w:rsidRPr="004D6B46">
              <w:rPr>
                <w:lang w:eastAsia="ru-RU"/>
              </w:rPr>
              <w:t>По крайней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устойчивость результатов или группа доказательств</w:t>
            </w:r>
          </w:p>
        </w:tc>
      </w:tr>
      <w:tr w:rsidR="00A97587" w:rsidRPr="003F52C2" w:rsidTr="002C7D0F">
        <w:tc>
          <w:tcPr>
            <w:tcW w:w="1188" w:type="dxa"/>
          </w:tcPr>
          <w:p w:rsidR="00A97587" w:rsidRPr="004D6B46" w:rsidRDefault="00A97587" w:rsidP="002C7D0F">
            <w:pPr>
              <w:spacing w:after="0" w:line="240" w:lineRule="auto"/>
              <w:rPr>
                <w:lang w:val="en-US" w:eastAsia="ru-RU"/>
              </w:rPr>
            </w:pPr>
            <w:r w:rsidRPr="004D6B46">
              <w:rPr>
                <w:lang w:val="en-US" w:eastAsia="ru-RU"/>
              </w:rPr>
              <w:t>B</w:t>
            </w:r>
          </w:p>
        </w:tc>
        <w:tc>
          <w:tcPr>
            <w:tcW w:w="8382" w:type="dxa"/>
          </w:tcPr>
          <w:p w:rsidR="00A97587" w:rsidRPr="004D6B46" w:rsidRDefault="00A97587" w:rsidP="002C7D0F">
            <w:pPr>
              <w:spacing w:after="0" w:line="240" w:lineRule="auto"/>
              <w:rPr>
                <w:lang w:eastAsia="ru-RU"/>
              </w:rPr>
            </w:pPr>
            <w:r w:rsidRPr="004D6B46">
              <w:rPr>
                <w:lang w:eastAsia="ru-RU"/>
              </w:rPr>
              <w:t>Группа доказательств, включающая результаты исследований, оцененные как 2++ напрямую применимые к целевой популяции и демонстрирующие устойчивость результатов или группа доказательств или экстраполированные доказательства из исследований, оцененных как 1++ или 1+</w:t>
            </w:r>
          </w:p>
        </w:tc>
      </w:tr>
      <w:tr w:rsidR="00A97587" w:rsidRPr="003F52C2" w:rsidTr="002C7D0F">
        <w:tc>
          <w:tcPr>
            <w:tcW w:w="1188" w:type="dxa"/>
          </w:tcPr>
          <w:p w:rsidR="00A97587" w:rsidRPr="004D6B46" w:rsidRDefault="00A97587" w:rsidP="002C7D0F">
            <w:pPr>
              <w:spacing w:after="0" w:line="240" w:lineRule="auto"/>
              <w:rPr>
                <w:lang w:val="en-US" w:eastAsia="ru-RU"/>
              </w:rPr>
            </w:pPr>
            <w:r w:rsidRPr="004D6B46">
              <w:rPr>
                <w:lang w:val="en-US" w:eastAsia="ru-RU"/>
              </w:rPr>
              <w:t>C</w:t>
            </w:r>
          </w:p>
        </w:tc>
        <w:tc>
          <w:tcPr>
            <w:tcW w:w="8382" w:type="dxa"/>
          </w:tcPr>
          <w:p w:rsidR="00A97587" w:rsidRPr="004D6B46" w:rsidRDefault="00A97587" w:rsidP="002C7D0F">
            <w:pPr>
              <w:spacing w:after="0" w:line="240" w:lineRule="auto"/>
              <w:rPr>
                <w:lang w:eastAsia="ru-RU"/>
              </w:rPr>
            </w:pPr>
            <w:r w:rsidRPr="004D6B46">
              <w:rPr>
                <w:lang w:eastAsia="ru-RU"/>
              </w:rPr>
              <w:t xml:space="preserve">Группа доказательств, включающая результаты исследований, оцененные как 2+ напрямую применимые к целевой популяции и демонстрирующие устойчивость результатов или экстраполированные доказательства из исследований, оцененных как 2++ </w:t>
            </w:r>
          </w:p>
        </w:tc>
      </w:tr>
      <w:tr w:rsidR="00A97587" w:rsidRPr="003F52C2" w:rsidTr="002C7D0F">
        <w:tc>
          <w:tcPr>
            <w:tcW w:w="1188" w:type="dxa"/>
          </w:tcPr>
          <w:p w:rsidR="00A97587" w:rsidRPr="004D6B46" w:rsidRDefault="00A97587" w:rsidP="002C7D0F">
            <w:pPr>
              <w:spacing w:after="0" w:line="240" w:lineRule="auto"/>
              <w:rPr>
                <w:lang w:eastAsia="ru-RU"/>
              </w:rPr>
            </w:pPr>
            <w:r w:rsidRPr="004D6B46">
              <w:rPr>
                <w:lang w:val="en-US" w:eastAsia="ru-RU"/>
              </w:rPr>
              <w:t>D</w:t>
            </w:r>
          </w:p>
        </w:tc>
        <w:tc>
          <w:tcPr>
            <w:tcW w:w="8382" w:type="dxa"/>
          </w:tcPr>
          <w:p w:rsidR="00A97587" w:rsidRPr="004D6B46" w:rsidRDefault="00A97587" w:rsidP="002C7D0F">
            <w:pPr>
              <w:spacing w:after="0" w:line="240" w:lineRule="auto"/>
              <w:rPr>
                <w:lang w:eastAsia="ru-RU"/>
              </w:rPr>
            </w:pPr>
            <w:r w:rsidRPr="004D6B46">
              <w:rPr>
                <w:lang w:eastAsia="ru-RU"/>
              </w:rPr>
              <w:t>Доказательства уровня 3 или 4, экстраполированные доказательства из исследований, оцененных как 2+</w:t>
            </w:r>
          </w:p>
        </w:tc>
      </w:tr>
    </w:tbl>
    <w:p w:rsidR="00A97587" w:rsidRPr="003F52C2" w:rsidRDefault="00A97587" w:rsidP="000B4017">
      <w:pPr>
        <w:spacing w:line="240" w:lineRule="auto"/>
        <w:ind w:left="360"/>
      </w:pP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Индикаторы доброкачественной практики (Good Practice Points- GPPs):</w:t>
      </w:r>
    </w:p>
    <w:p w:rsidR="00A97587" w:rsidRPr="00192261" w:rsidRDefault="00A97587" w:rsidP="000B4017">
      <w:pPr>
        <w:pStyle w:val="BodyText"/>
        <w:rPr>
          <w:lang w:val="ru-RU"/>
        </w:rPr>
      </w:pPr>
      <w:r w:rsidRPr="00192261">
        <w:rPr>
          <w:lang w:val="ru-RU"/>
        </w:rPr>
        <w:t>Рекомендуемая доброкачественная практика базируется на клиническом опыте членов рабочей группы по разработке рекомендаций.</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Экономический анализ:</w:t>
      </w:r>
    </w:p>
    <w:p w:rsidR="00A97587" w:rsidRPr="00192261" w:rsidRDefault="00A97587" w:rsidP="000B4017">
      <w:pPr>
        <w:pStyle w:val="BodyText"/>
        <w:rPr>
          <w:lang w:val="ru-RU"/>
        </w:rPr>
      </w:pPr>
      <w:r w:rsidRPr="00192261">
        <w:rPr>
          <w:lang w:val="ru-RU"/>
        </w:rPr>
        <w:t>Анализ стоимости не приводился и публикации по фармакоэкономике не анализировались.</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Метод валидизации рекомендаций:</w:t>
      </w:r>
    </w:p>
    <w:p w:rsidR="00A97587" w:rsidRPr="00192261" w:rsidRDefault="00A97587" w:rsidP="000B4017">
      <w:pPr>
        <w:pStyle w:val="BodyText"/>
        <w:rPr>
          <w:lang w:val="ru-RU"/>
        </w:rPr>
      </w:pPr>
      <w:r w:rsidRPr="00192261">
        <w:rPr>
          <w:lang w:val="ru-RU"/>
        </w:rPr>
        <w:t>- Внешняя экспертная оценка</w:t>
      </w:r>
    </w:p>
    <w:p w:rsidR="00A97587" w:rsidRPr="00192261" w:rsidRDefault="00A97587" w:rsidP="000B4017">
      <w:pPr>
        <w:pStyle w:val="BodyText"/>
        <w:rPr>
          <w:lang w:val="ru-RU"/>
        </w:rPr>
      </w:pPr>
      <w:r w:rsidRPr="00192261">
        <w:rPr>
          <w:lang w:val="ru-RU"/>
        </w:rPr>
        <w:t>- Внутренняя экспертная оценка</w:t>
      </w:r>
    </w:p>
    <w:p w:rsidR="00A97587" w:rsidRPr="00192261" w:rsidRDefault="00A97587" w:rsidP="000B4017">
      <w:pPr>
        <w:spacing w:before="120" w:after="0" w:line="240" w:lineRule="auto"/>
        <w:rPr>
          <w:rFonts w:ascii="Times New Roman" w:hAnsi="Times New Roman"/>
          <w:i/>
          <w:sz w:val="24"/>
          <w:szCs w:val="24"/>
          <w:u w:val="single"/>
        </w:rPr>
      </w:pPr>
      <w:r w:rsidRPr="00192261">
        <w:rPr>
          <w:rFonts w:ascii="Times New Roman" w:hAnsi="Times New Roman"/>
          <w:i/>
          <w:sz w:val="24"/>
          <w:szCs w:val="24"/>
          <w:u w:val="single"/>
        </w:rPr>
        <w:t>Основные рекомендации:</w:t>
      </w:r>
    </w:p>
    <w:p w:rsidR="00A97587" w:rsidRDefault="00A97587" w:rsidP="000B4017">
      <w:pPr>
        <w:pStyle w:val="BodyText"/>
        <w:rPr>
          <w:lang w:val="ru-RU"/>
        </w:rPr>
      </w:pPr>
      <w:r w:rsidRPr="00192261">
        <w:rPr>
          <w:lang w:val="ru-RU"/>
        </w:rPr>
        <w:t>Сила рекомендаций (</w:t>
      </w:r>
      <w:r w:rsidRPr="004D6B46">
        <w:t>A</w:t>
      </w:r>
      <w:r w:rsidRPr="00192261">
        <w:rPr>
          <w:lang w:val="ru-RU"/>
        </w:rPr>
        <w:t>-</w:t>
      </w:r>
      <w:r w:rsidRPr="004D6B46">
        <w:t>D</w:t>
      </w:r>
      <w:r w:rsidRPr="00192261">
        <w:rPr>
          <w:lang w:val="ru-RU"/>
        </w:rPr>
        <w:t xml:space="preserve">), уровни доказательств (1++, 1+, 1-, 2++,2+, 2-, 3,4) и индикаторы доброкачественной практики – </w:t>
      </w:r>
      <w:r w:rsidRPr="004D6B46">
        <w:t>good</w:t>
      </w:r>
      <w:r w:rsidRPr="00192261">
        <w:rPr>
          <w:lang w:val="ru-RU"/>
        </w:rPr>
        <w:t xml:space="preserve"> </w:t>
      </w:r>
      <w:r w:rsidRPr="004D6B46">
        <w:t>practice</w:t>
      </w:r>
      <w:r w:rsidRPr="00192261">
        <w:rPr>
          <w:lang w:val="ru-RU"/>
        </w:rPr>
        <w:t xml:space="preserve"> </w:t>
      </w:r>
      <w:r w:rsidRPr="004D6B46">
        <w:t>points</w:t>
      </w:r>
      <w:r w:rsidRPr="00192261">
        <w:rPr>
          <w:lang w:val="ru-RU"/>
        </w:rPr>
        <w:t xml:space="preserve"> (</w:t>
      </w:r>
      <w:r w:rsidRPr="004D6B46">
        <w:t>GPPs</w:t>
      </w:r>
      <w:r w:rsidRPr="00192261">
        <w:rPr>
          <w:lang w:val="ru-RU"/>
        </w:rPr>
        <w:t>) приводится при изложении текста рекомендаций.</w:t>
      </w:r>
    </w:p>
    <w:p w:rsidR="00A97587" w:rsidRDefault="00A97587">
      <w:pPr>
        <w:pStyle w:val="Heading1"/>
        <w:pageBreakBefore/>
        <w:numPr>
          <w:ilvl w:val="0"/>
          <w:numId w:val="31"/>
        </w:numPr>
        <w:spacing w:before="0" w:after="0"/>
        <w:ind w:left="0" w:firstLine="0"/>
        <w:rPr>
          <w:rFonts w:cs="Arial"/>
          <w:szCs w:val="28"/>
        </w:rPr>
      </w:pPr>
      <w:bookmarkStart w:id="4" w:name="_Toc373846927"/>
      <w:bookmarkStart w:id="5" w:name="_Toc373847343"/>
      <w:bookmarkStart w:id="6" w:name="_Toc373847431"/>
      <w:bookmarkStart w:id="7" w:name="_Toc373847485"/>
      <w:bookmarkStart w:id="8" w:name="_Toc373846928"/>
      <w:bookmarkStart w:id="9" w:name="_Toc373847344"/>
      <w:bookmarkStart w:id="10" w:name="_Toc373847432"/>
      <w:bookmarkStart w:id="11" w:name="_Toc373847486"/>
      <w:bookmarkStart w:id="12" w:name="_Toc374016056"/>
      <w:bookmarkEnd w:id="4"/>
      <w:bookmarkEnd w:id="5"/>
      <w:bookmarkEnd w:id="6"/>
      <w:bookmarkEnd w:id="7"/>
      <w:bookmarkEnd w:id="8"/>
      <w:bookmarkEnd w:id="9"/>
      <w:bookmarkEnd w:id="10"/>
      <w:bookmarkEnd w:id="11"/>
      <w:r w:rsidRPr="00DA0688">
        <w:rPr>
          <w:rFonts w:cs="Arial"/>
          <w:szCs w:val="28"/>
        </w:rPr>
        <w:t>Определения и сокращения</w:t>
      </w:r>
      <w:bookmarkEnd w:id="12"/>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АЛТ/АСТ</w:t>
      </w:r>
      <w:r w:rsidRPr="00DA0688">
        <w:rPr>
          <w:rFonts w:ascii="Times New Roman" w:eastAsia="Batang" w:hAnsi="Times New Roman"/>
          <w:sz w:val="24"/>
          <w:szCs w:val="24"/>
        </w:rPr>
        <w:t xml:space="preserve"> – аланин аминотрансфераза/аспартат аминотрансфераза</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БАЛ</w:t>
      </w:r>
      <w:r w:rsidRPr="00DA0688">
        <w:rPr>
          <w:rFonts w:ascii="Times New Roman" w:eastAsia="Batang" w:hAnsi="Times New Roman"/>
          <w:sz w:val="24"/>
          <w:szCs w:val="24"/>
        </w:rPr>
        <w:t xml:space="preserve"> – бронхоальвеолярный лаваж </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ВГЛУ</w:t>
      </w:r>
      <w:r w:rsidRPr="00DA0688">
        <w:rPr>
          <w:rFonts w:ascii="Times New Roman" w:eastAsia="Batang" w:hAnsi="Times New Roman"/>
          <w:sz w:val="24"/>
          <w:szCs w:val="24"/>
        </w:rPr>
        <w:t xml:space="preserve"> – внутригрудные лимфоузлы</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Впервые выявленный пациент</w:t>
      </w:r>
      <w:r w:rsidRPr="00DA0688">
        <w:rPr>
          <w:rFonts w:ascii="Times New Roman" w:hAnsi="Times New Roman" w:cs="Times New Roman"/>
          <w:i/>
        </w:rPr>
        <w:t xml:space="preserve"> </w:t>
      </w:r>
      <w:r w:rsidRPr="00DA0688">
        <w:rPr>
          <w:rFonts w:ascii="Times New Roman" w:hAnsi="Times New Roman" w:cs="Times New Roman"/>
        </w:rPr>
        <w:t xml:space="preserve">с туберкулёзом (новый случай) – случай лечения пациента, который ранее не принимал противотуберкулёзные препараты в виде курса лечения туберкулёза или принимал их менее 1 месяца. </w:t>
      </w:r>
    </w:p>
    <w:p w:rsidR="00A97587" w:rsidRPr="00DA0688" w:rsidRDefault="00A97587" w:rsidP="00DA0688">
      <w:pPr>
        <w:pStyle w:val="Default"/>
        <w:jc w:val="both"/>
        <w:rPr>
          <w:rFonts w:ascii="Times New Roman" w:hAnsi="Times New Roman" w:cs="Times New Roman"/>
          <w:b/>
          <w:i/>
        </w:rPr>
      </w:pPr>
      <w:r w:rsidRPr="00DA0688">
        <w:rPr>
          <w:rFonts w:ascii="Times New Roman" w:hAnsi="Times New Roman" w:cs="Times New Roman"/>
          <w:b/>
          <w:i/>
        </w:rPr>
        <w:t xml:space="preserve">КУМ - </w:t>
      </w:r>
      <w:r w:rsidRPr="00DA0688">
        <w:rPr>
          <w:rFonts w:ascii="Times New Roman" w:hAnsi="Times New Roman" w:cs="Times New Roman"/>
        </w:rPr>
        <w:t xml:space="preserve">кислото-устойчивые микобактерии </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 xml:space="preserve">ЛДГ </w:t>
      </w:r>
      <w:r w:rsidRPr="00DA0688">
        <w:rPr>
          <w:rFonts w:ascii="Times New Roman" w:eastAsia="Batang" w:hAnsi="Times New Roman"/>
          <w:sz w:val="24"/>
          <w:szCs w:val="24"/>
        </w:rPr>
        <w:t>– лактат дегидрогеназа</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Лекарственная устойчивость (ЛУ)</w:t>
      </w:r>
      <w:r w:rsidRPr="00DA0688">
        <w:rPr>
          <w:rFonts w:ascii="Times New Roman" w:hAnsi="Times New Roman" w:cs="Times New Roman"/>
          <w:b/>
        </w:rPr>
        <w:t xml:space="preserve"> </w:t>
      </w:r>
      <w:r w:rsidRPr="00DA0688">
        <w:rPr>
          <w:rFonts w:ascii="Times New Roman" w:hAnsi="Times New Roman" w:cs="Times New Roman"/>
        </w:rPr>
        <w:t xml:space="preserve">- устойчивость МБТ к любому (-ым) противотуберкулезному (-ым препаратам). </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 xml:space="preserve">МБТ </w:t>
      </w:r>
      <w:r w:rsidRPr="00DA0688">
        <w:rPr>
          <w:rFonts w:ascii="Times New Roman" w:hAnsi="Times New Roman" w:cs="Times New Roman"/>
        </w:rPr>
        <w:t xml:space="preserve">– микобактерии туберкулеза, </w:t>
      </w:r>
      <w:r w:rsidRPr="00DA0688">
        <w:rPr>
          <w:rFonts w:ascii="Times New Roman" w:hAnsi="Times New Roman" w:cs="Times New Roman"/>
          <w:i/>
          <w:lang w:val="en-US"/>
        </w:rPr>
        <w:t>Mycobacterium</w:t>
      </w:r>
      <w:r w:rsidRPr="00DA0688">
        <w:rPr>
          <w:rFonts w:ascii="Times New Roman" w:hAnsi="Times New Roman" w:cs="Times New Roman"/>
          <w:i/>
        </w:rPr>
        <w:t xml:space="preserve"> </w:t>
      </w:r>
      <w:r w:rsidRPr="00DA0688">
        <w:rPr>
          <w:rFonts w:ascii="Times New Roman" w:hAnsi="Times New Roman" w:cs="Times New Roman"/>
          <w:i/>
          <w:lang w:val="en-US"/>
        </w:rPr>
        <w:t>tuberculosis</w:t>
      </w:r>
    </w:p>
    <w:p w:rsidR="00A97587" w:rsidRPr="00DA0688" w:rsidRDefault="00A97587" w:rsidP="00DA0688">
      <w:pPr>
        <w:spacing w:after="0" w:line="240" w:lineRule="auto"/>
        <w:jc w:val="both"/>
        <w:rPr>
          <w:rFonts w:ascii="Times New Roman" w:hAnsi="Times New Roman"/>
          <w:b/>
          <w:sz w:val="24"/>
          <w:szCs w:val="24"/>
        </w:rPr>
      </w:pPr>
      <w:r w:rsidRPr="00DA0688">
        <w:rPr>
          <w:rFonts w:ascii="Times New Roman" w:hAnsi="Times New Roman"/>
          <w:b/>
          <w:i/>
          <w:sz w:val="24"/>
          <w:szCs w:val="24"/>
        </w:rPr>
        <w:t>МБТК</w:t>
      </w:r>
      <w:r w:rsidRPr="00DA0688">
        <w:rPr>
          <w:rFonts w:ascii="Times New Roman" w:hAnsi="Times New Roman"/>
          <w:b/>
          <w:i/>
          <w:sz w:val="24"/>
          <w:szCs w:val="24"/>
        </w:rPr>
        <w:tab/>
      </w:r>
      <w:r w:rsidRPr="00DA0688">
        <w:rPr>
          <w:rFonts w:ascii="Times New Roman" w:hAnsi="Times New Roman"/>
          <w:sz w:val="24"/>
          <w:szCs w:val="24"/>
        </w:rPr>
        <w:t xml:space="preserve">– микобактерии туберкулезного комплекса, включающего, помимо МБТ, микобактерии: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bovis</w:t>
      </w:r>
      <w:r w:rsidRPr="00DA0688">
        <w:rPr>
          <w:rFonts w:ascii="Times New Roman" w:hAnsi="Times New Roman"/>
          <w:i/>
          <w:iCs/>
          <w:color w:val="231F20"/>
          <w:sz w:val="24"/>
          <w:szCs w:val="24"/>
          <w:lang w:eastAsia="ru-RU"/>
        </w:rPr>
        <w:t xml:space="preserve">,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bovis</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BCG</w:t>
      </w:r>
      <w:r>
        <w:rPr>
          <w:rFonts w:ascii="Times New Roman" w:hAnsi="Times New Roman"/>
          <w:i/>
          <w:iCs/>
          <w:color w:val="231F20"/>
          <w:sz w:val="24"/>
          <w:szCs w:val="24"/>
          <w:lang w:eastAsia="ru-RU"/>
        </w:rPr>
        <w:t>*</w:t>
      </w:r>
      <w:r w:rsidRPr="00DA0688">
        <w:rPr>
          <w:rFonts w:ascii="Times New Roman" w:hAnsi="Times New Roman"/>
          <w:i/>
          <w:iCs/>
          <w:color w:val="231F20"/>
          <w:sz w:val="24"/>
          <w:szCs w:val="24"/>
          <w:lang w:eastAsia="ru-RU"/>
        </w:rPr>
        <w:t xml:space="preserve">,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africanum</w:t>
      </w:r>
      <w:r w:rsidRPr="00DA0688">
        <w:rPr>
          <w:rFonts w:ascii="Times New Roman" w:hAnsi="Times New Roman"/>
          <w:i/>
          <w:iCs/>
          <w:color w:val="231F20"/>
          <w:sz w:val="24"/>
          <w:szCs w:val="24"/>
          <w:lang w:eastAsia="ru-RU"/>
        </w:rPr>
        <w:t>,</w:t>
      </w:r>
      <w:r w:rsidRPr="00DA0688">
        <w:rPr>
          <w:rFonts w:ascii="Times New Roman" w:hAnsi="Times New Roman"/>
          <w:color w:val="231F20"/>
          <w:sz w:val="24"/>
          <w:szCs w:val="24"/>
          <w:lang w:eastAsia="ru-RU"/>
        </w:rPr>
        <w:t xml:space="preserve">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microti</w:t>
      </w:r>
      <w:r w:rsidRPr="00DA0688">
        <w:rPr>
          <w:rFonts w:ascii="Times New Roman" w:hAnsi="Times New Roman"/>
          <w:i/>
          <w:iCs/>
          <w:color w:val="231F20"/>
          <w:sz w:val="24"/>
          <w:szCs w:val="24"/>
          <w:lang w:eastAsia="ru-RU"/>
        </w:rPr>
        <w:t xml:space="preserve">,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canetti</w:t>
      </w:r>
      <w:r w:rsidRPr="00DA0688">
        <w:rPr>
          <w:rFonts w:ascii="Times New Roman" w:hAnsi="Times New Roman"/>
          <w:i/>
          <w:iCs/>
          <w:color w:val="231F20"/>
          <w:sz w:val="24"/>
          <w:szCs w:val="24"/>
          <w:lang w:eastAsia="ru-RU"/>
        </w:rPr>
        <w:t xml:space="preserve">,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caprae</w:t>
      </w:r>
      <w:r w:rsidRPr="00DA0688">
        <w:rPr>
          <w:rFonts w:ascii="Times New Roman" w:hAnsi="Times New Roman"/>
          <w:i/>
          <w:iCs/>
          <w:color w:val="231F20"/>
          <w:sz w:val="24"/>
          <w:szCs w:val="24"/>
          <w:lang w:eastAsia="ru-RU"/>
        </w:rPr>
        <w:t xml:space="preserve">, </w:t>
      </w:r>
      <w:r w:rsidRPr="00DA0688">
        <w:rPr>
          <w:rFonts w:ascii="Times New Roman" w:hAnsi="Times New Roman"/>
          <w:i/>
          <w:iCs/>
          <w:color w:val="231F20"/>
          <w:sz w:val="24"/>
          <w:szCs w:val="24"/>
          <w:lang w:val="en-US" w:eastAsia="ru-RU"/>
        </w:rPr>
        <w:t>M</w:t>
      </w:r>
      <w:r w:rsidRPr="00DA0688">
        <w:rPr>
          <w:rFonts w:ascii="Times New Roman" w:hAnsi="Times New Roman"/>
          <w:i/>
          <w:iCs/>
          <w:color w:val="231F20"/>
          <w:sz w:val="24"/>
          <w:szCs w:val="24"/>
          <w:lang w:eastAsia="ru-RU"/>
        </w:rPr>
        <w:t>.</w:t>
      </w:r>
      <w:r w:rsidRPr="00DA0688">
        <w:rPr>
          <w:rFonts w:ascii="Times New Roman" w:hAnsi="Times New Roman"/>
          <w:i/>
          <w:iCs/>
          <w:color w:val="231F20"/>
          <w:sz w:val="24"/>
          <w:szCs w:val="24"/>
          <w:lang w:val="en-US" w:eastAsia="ru-RU"/>
        </w:rPr>
        <w:t>pinnipedii</w:t>
      </w:r>
      <w:r w:rsidRPr="00DA0688">
        <w:rPr>
          <w:rFonts w:ascii="Times New Roman" w:hAnsi="Times New Roman"/>
          <w:i/>
          <w:iCs/>
          <w:color w:val="231F20"/>
          <w:sz w:val="24"/>
          <w:szCs w:val="24"/>
          <w:lang w:eastAsia="ru-RU"/>
        </w:rPr>
        <w:t>.</w:t>
      </w:r>
      <w:r w:rsidRPr="00DA0688">
        <w:rPr>
          <w:rFonts w:ascii="Times New Roman" w:hAnsi="Times New Roman"/>
          <w:sz w:val="24"/>
          <w:szCs w:val="24"/>
        </w:rPr>
        <w:t xml:space="preserve">  </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МГМ –</w:t>
      </w:r>
      <w:r w:rsidRPr="00DA0688">
        <w:rPr>
          <w:rFonts w:ascii="Times New Roman" w:eastAsia="Batang" w:hAnsi="Times New Roman"/>
          <w:sz w:val="24"/>
          <w:szCs w:val="24"/>
        </w:rPr>
        <w:t xml:space="preserve"> молекулярно-генетические методы</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Множественная лекарственная устойчивость (МЛУ)</w:t>
      </w:r>
      <w:r w:rsidRPr="00DA0688">
        <w:rPr>
          <w:rFonts w:ascii="Times New Roman" w:hAnsi="Times New Roman" w:cs="Times New Roman"/>
        </w:rPr>
        <w:t xml:space="preserve"> – устойчивость к сочетанию изониазида и рифампицина независимо от наличия устойчивости к другим противотуберкулезным препаратам. </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Монорезистентность</w:t>
      </w:r>
      <w:r w:rsidRPr="00DA0688">
        <w:rPr>
          <w:rFonts w:ascii="Times New Roman" w:hAnsi="Times New Roman" w:cs="Times New Roman"/>
        </w:rPr>
        <w:t xml:space="preserve"> – устойчивость только к одному противотуберкулезному препарату. </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НТМБ</w:t>
      </w:r>
      <w:r w:rsidRPr="00DA0688">
        <w:rPr>
          <w:rFonts w:ascii="Times New Roman" w:eastAsia="Batang" w:hAnsi="Times New Roman"/>
          <w:sz w:val="24"/>
          <w:szCs w:val="24"/>
        </w:rPr>
        <w:t xml:space="preserve"> – </w:t>
      </w:r>
      <w:r w:rsidRPr="00DA0688">
        <w:rPr>
          <w:rFonts w:ascii="Times New Roman" w:hAnsi="Times New Roman"/>
          <w:sz w:val="24"/>
          <w:szCs w:val="24"/>
        </w:rPr>
        <w:t>микобактерии, не относящиеся к комплексу микобактерий туберкулеза (нетуберкулезные микобактерии)</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ОДМ –</w:t>
      </w:r>
      <w:r w:rsidRPr="00DA0688">
        <w:rPr>
          <w:rFonts w:ascii="Times New Roman" w:eastAsia="Batang" w:hAnsi="Times New Roman"/>
          <w:sz w:val="24"/>
          <w:szCs w:val="24"/>
        </w:rPr>
        <w:t xml:space="preserve"> обязательный диагностический минимум</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ОМИ –</w:t>
      </w:r>
      <w:r w:rsidRPr="00DA0688">
        <w:rPr>
          <w:rFonts w:ascii="Times New Roman" w:eastAsia="Batang" w:hAnsi="Times New Roman"/>
          <w:sz w:val="24"/>
          <w:szCs w:val="24"/>
        </w:rPr>
        <w:t xml:space="preserve"> обязательные методы исследования</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Пациенты с высоким риском МЛУ ТБ</w:t>
      </w:r>
      <w:r w:rsidRPr="00DA0688">
        <w:rPr>
          <w:rFonts w:ascii="Times New Roman" w:hAnsi="Times New Roman" w:cs="Times New Roman"/>
        </w:rPr>
        <w:t xml:space="preserve"> - впервые выявленные из контактов с пациентами, страдающими туберкулезом с множественной лекарственной устойчивостью МБТ (МЛУ ТБ), случаи повторного лечения, ВИЧ-инфицированные, пациенты из социально дезадаптированных групп населения. </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ПМСП</w:t>
      </w:r>
      <w:r w:rsidRPr="00DA0688">
        <w:rPr>
          <w:rFonts w:ascii="Times New Roman" w:eastAsia="Batang" w:hAnsi="Times New Roman"/>
          <w:sz w:val="24"/>
          <w:szCs w:val="24"/>
        </w:rPr>
        <w:t xml:space="preserve"> – первичная медико-санитарная помощь</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ПТД</w:t>
      </w:r>
      <w:r w:rsidRPr="00DA0688">
        <w:rPr>
          <w:rFonts w:ascii="Times New Roman" w:eastAsia="Batang" w:hAnsi="Times New Roman"/>
          <w:sz w:val="24"/>
          <w:szCs w:val="24"/>
        </w:rPr>
        <w:t xml:space="preserve"> – противотуберкулезный диспансер</w:t>
      </w:r>
    </w:p>
    <w:p w:rsidR="00A97587" w:rsidRPr="00DA0688" w:rsidRDefault="00A97587" w:rsidP="00375862">
      <w:pPr>
        <w:pStyle w:val="1"/>
        <w:spacing w:after="0" w:line="240" w:lineRule="auto"/>
        <w:ind w:left="0"/>
        <w:jc w:val="both"/>
        <w:rPr>
          <w:rFonts w:ascii="Times New Roman" w:eastAsia="Batang" w:hAnsi="Times New Roman"/>
          <w:sz w:val="24"/>
          <w:szCs w:val="24"/>
        </w:rPr>
      </w:pPr>
      <w:r w:rsidRPr="00DA0688">
        <w:rPr>
          <w:rFonts w:ascii="Times New Roman" w:eastAsia="Batang" w:hAnsi="Times New Roman"/>
          <w:b/>
          <w:i/>
          <w:sz w:val="24"/>
          <w:szCs w:val="24"/>
        </w:rPr>
        <w:t>ПТ</w:t>
      </w:r>
      <w:r>
        <w:rPr>
          <w:rFonts w:ascii="Times New Roman" w:eastAsia="Batang" w:hAnsi="Times New Roman"/>
          <w:b/>
          <w:i/>
          <w:sz w:val="24"/>
          <w:szCs w:val="24"/>
        </w:rPr>
        <w:t>П</w:t>
      </w:r>
      <w:r w:rsidRPr="00DA0688">
        <w:rPr>
          <w:rFonts w:ascii="Times New Roman" w:eastAsia="Batang" w:hAnsi="Times New Roman"/>
          <w:sz w:val="24"/>
          <w:szCs w:val="24"/>
        </w:rPr>
        <w:t xml:space="preserve"> – противотуберкулезный </w:t>
      </w:r>
      <w:r>
        <w:rPr>
          <w:rFonts w:ascii="Times New Roman" w:eastAsia="Batang" w:hAnsi="Times New Roman"/>
          <w:sz w:val="24"/>
          <w:szCs w:val="24"/>
        </w:rPr>
        <w:t>препарат</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Полирезистентность</w:t>
      </w:r>
      <w:r w:rsidRPr="00DA0688">
        <w:rPr>
          <w:rFonts w:ascii="Times New Roman" w:hAnsi="Times New Roman" w:cs="Times New Roman"/>
        </w:rPr>
        <w:t xml:space="preserve"> – устойчивость к двум и более противотуберкулезным препаратам, но не к сочетанию изониазида и рифампицина; </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После неэффективного курса химиотерапии</w:t>
      </w:r>
      <w:r w:rsidRPr="00DA0688">
        <w:rPr>
          <w:rFonts w:ascii="Times New Roman" w:hAnsi="Times New Roman" w:cs="Times New Roman"/>
          <w:b/>
        </w:rPr>
        <w:t xml:space="preserve"> </w:t>
      </w:r>
      <w:r w:rsidRPr="00DA0688">
        <w:rPr>
          <w:rFonts w:ascii="Times New Roman" w:hAnsi="Times New Roman" w:cs="Times New Roman"/>
        </w:rPr>
        <w:t xml:space="preserve">– случай лечения пациента, предыдущий курс химиотерапии которого завершился исходом «неэффективный курс химиотерапии» или «перерегистрирован». </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После прерывания курса химиотерапии</w:t>
      </w:r>
      <w:r w:rsidRPr="00DA0688">
        <w:rPr>
          <w:rFonts w:ascii="Times New Roman" w:hAnsi="Times New Roman" w:cs="Times New Roman"/>
          <w:b/>
        </w:rPr>
        <w:t xml:space="preserve"> </w:t>
      </w:r>
      <w:r w:rsidRPr="00DA0688">
        <w:rPr>
          <w:rFonts w:ascii="Times New Roman" w:hAnsi="Times New Roman" w:cs="Times New Roman"/>
        </w:rPr>
        <w:t xml:space="preserve">– случай лечения пациента, у которого предыдущий курс лечения завершился исходом «прервал курс химиотерапии». </w:t>
      </w:r>
    </w:p>
    <w:p w:rsidR="00A97587" w:rsidRPr="00DA0688" w:rsidRDefault="00A97587" w:rsidP="00DA0688">
      <w:pPr>
        <w:pStyle w:val="Default"/>
        <w:jc w:val="both"/>
        <w:rPr>
          <w:rFonts w:ascii="Times New Roman" w:hAnsi="Times New Roman" w:cs="Times New Roman"/>
        </w:rPr>
      </w:pPr>
      <w:r w:rsidRPr="00DA0688">
        <w:rPr>
          <w:rFonts w:ascii="Times New Roman" w:hAnsi="Times New Roman" w:cs="Times New Roman"/>
          <w:b/>
          <w:i/>
        </w:rPr>
        <w:t>Рецидив туберкулёза</w:t>
      </w:r>
      <w:r w:rsidRPr="00DA0688">
        <w:rPr>
          <w:rFonts w:ascii="Times New Roman" w:hAnsi="Times New Roman" w:cs="Times New Roman"/>
          <w:i/>
        </w:rPr>
        <w:t xml:space="preserve"> </w:t>
      </w:r>
      <w:r w:rsidRPr="00DA0688">
        <w:rPr>
          <w:rFonts w:ascii="Times New Roman" w:hAnsi="Times New Roman" w:cs="Times New Roman"/>
        </w:rPr>
        <w:t xml:space="preserve">– случай лечения пациента, у которого предыдущий курс химиотерапии был завершен эффективно, а затем был зарегистрирован повторный эпизод туберкулёза. </w:t>
      </w:r>
    </w:p>
    <w:p w:rsidR="00A97587" w:rsidRPr="00DA0688" w:rsidRDefault="00A97587" w:rsidP="00DA0688">
      <w:pPr>
        <w:pStyle w:val="1"/>
        <w:spacing w:after="0" w:line="240" w:lineRule="auto"/>
        <w:ind w:left="0"/>
        <w:jc w:val="both"/>
        <w:rPr>
          <w:rFonts w:ascii="Times New Roman" w:eastAsia="Batang" w:hAnsi="Times New Roman"/>
          <w:sz w:val="24"/>
          <w:szCs w:val="24"/>
        </w:rPr>
      </w:pPr>
      <w:r w:rsidRPr="00DA0688">
        <w:rPr>
          <w:rFonts w:ascii="Times New Roman" w:hAnsi="Times New Roman"/>
          <w:b/>
          <w:i/>
          <w:sz w:val="24"/>
          <w:szCs w:val="24"/>
        </w:rPr>
        <w:t>Устойчивость к рифампицину</w:t>
      </w:r>
      <w:r w:rsidRPr="00DA0688">
        <w:rPr>
          <w:rFonts w:ascii="Times New Roman" w:hAnsi="Times New Roman"/>
          <w:sz w:val="24"/>
          <w:szCs w:val="24"/>
        </w:rPr>
        <w:t xml:space="preserve"> – лекарственная устойчивость МБТ к рифампицину независимо от лекарственной устойчивости к другим противотуберкулезным препаратам, определенная любым методом ТЛЧ</w:t>
      </w:r>
    </w:p>
    <w:p w:rsidR="00A97587" w:rsidRDefault="00A97587" w:rsidP="00DA0688">
      <w:pPr>
        <w:pStyle w:val="Default"/>
        <w:jc w:val="both"/>
        <w:rPr>
          <w:rFonts w:ascii="Times New Roman" w:hAnsi="Times New Roman" w:cs="Times New Roman"/>
        </w:rPr>
      </w:pPr>
      <w:r w:rsidRPr="00DA0688">
        <w:rPr>
          <w:rFonts w:ascii="Times New Roman" w:hAnsi="Times New Roman" w:cs="Times New Roman"/>
          <w:b/>
          <w:i/>
        </w:rPr>
        <w:t>Широкая лекарственная устойчивость (ШЛУ)</w:t>
      </w:r>
      <w:r w:rsidRPr="00DA0688">
        <w:rPr>
          <w:rFonts w:ascii="Times New Roman" w:hAnsi="Times New Roman" w:cs="Times New Roman"/>
        </w:rPr>
        <w:t xml:space="preserve"> - сочетанная устойчивость к изониазиду, рифампицину, фторхинолону и канамицину и\или амикацину и\или капреомицину, независимо от наличия устойчивости к другим противотуберкулезным препаратам. </w:t>
      </w:r>
    </w:p>
    <w:p w:rsidR="00A97587" w:rsidRPr="00A0111B" w:rsidRDefault="00A97587" w:rsidP="000C1BD2">
      <w:pPr>
        <w:pStyle w:val="1"/>
        <w:spacing w:after="0" w:line="240" w:lineRule="auto"/>
        <w:ind w:left="360"/>
        <w:jc w:val="both"/>
        <w:rPr>
          <w:rFonts w:ascii="Times New Roman" w:eastAsia="Batang" w:hAnsi="Times New Roman"/>
          <w:i/>
          <w:sz w:val="16"/>
          <w:szCs w:val="16"/>
        </w:rPr>
      </w:pPr>
      <w:r w:rsidRPr="00A0111B">
        <w:rPr>
          <w:rFonts w:ascii="Times New Roman" w:eastAsia="Batang" w:hAnsi="Times New Roman"/>
          <w:sz w:val="16"/>
          <w:szCs w:val="16"/>
        </w:rPr>
        <w:t>*</w:t>
      </w:r>
      <w:r w:rsidRPr="00A0111B">
        <w:rPr>
          <w:rFonts w:eastAsia="Batang"/>
          <w:sz w:val="16"/>
          <w:szCs w:val="16"/>
        </w:rPr>
        <w:t xml:space="preserve">Состояние, вызываемое </w:t>
      </w:r>
      <w:r w:rsidRPr="00A0111B">
        <w:rPr>
          <w:iCs/>
          <w:color w:val="231F20"/>
          <w:sz w:val="16"/>
          <w:szCs w:val="16"/>
          <w:lang w:val="en-US" w:eastAsia="ru-RU"/>
        </w:rPr>
        <w:t>M</w:t>
      </w:r>
      <w:r w:rsidRPr="00A0111B">
        <w:rPr>
          <w:iCs/>
          <w:color w:val="231F20"/>
          <w:sz w:val="16"/>
          <w:szCs w:val="16"/>
          <w:lang w:eastAsia="ru-RU"/>
        </w:rPr>
        <w:t>.</w:t>
      </w:r>
      <w:r w:rsidRPr="00A0111B">
        <w:rPr>
          <w:iCs/>
          <w:color w:val="231F20"/>
          <w:sz w:val="16"/>
          <w:szCs w:val="16"/>
          <w:lang w:val="en-US" w:eastAsia="ru-RU"/>
        </w:rPr>
        <w:t>bovis</w:t>
      </w:r>
      <w:r w:rsidRPr="00A0111B">
        <w:rPr>
          <w:iCs/>
          <w:color w:val="231F20"/>
          <w:sz w:val="16"/>
          <w:szCs w:val="16"/>
          <w:lang w:eastAsia="ru-RU"/>
        </w:rPr>
        <w:t>-</w:t>
      </w:r>
      <w:r w:rsidRPr="00A0111B">
        <w:rPr>
          <w:iCs/>
          <w:color w:val="231F20"/>
          <w:sz w:val="16"/>
          <w:szCs w:val="16"/>
          <w:lang w:val="en-US" w:eastAsia="ru-RU"/>
        </w:rPr>
        <w:t>BCG</w:t>
      </w:r>
      <w:r w:rsidRPr="00A0111B">
        <w:rPr>
          <w:iCs/>
          <w:color w:val="231F20"/>
          <w:sz w:val="16"/>
          <w:szCs w:val="16"/>
          <w:lang w:eastAsia="ru-RU"/>
        </w:rPr>
        <w:t>, не является заболеванием туберкулезом( А 15-А16, А19), а относится к поствакцинальным осложнениям (</w:t>
      </w:r>
      <w:r w:rsidRPr="00A0111B">
        <w:rPr>
          <w:iCs/>
          <w:color w:val="231F20"/>
          <w:sz w:val="16"/>
          <w:szCs w:val="16"/>
          <w:lang w:val="en-US" w:eastAsia="ru-RU"/>
        </w:rPr>
        <w:t>Y</w:t>
      </w:r>
      <w:r w:rsidRPr="00A0111B">
        <w:rPr>
          <w:iCs/>
          <w:color w:val="231F20"/>
          <w:sz w:val="16"/>
          <w:szCs w:val="16"/>
          <w:lang w:eastAsia="ru-RU"/>
        </w:rPr>
        <w:t xml:space="preserve">58) </w:t>
      </w:r>
      <w:r w:rsidRPr="00A0111B">
        <w:rPr>
          <w:rFonts w:ascii="Times New Roman" w:eastAsia="Batang" w:hAnsi="Times New Roman"/>
          <w:i/>
          <w:sz w:val="16"/>
          <w:szCs w:val="16"/>
        </w:rPr>
        <w:t xml:space="preserve"> </w:t>
      </w:r>
    </w:p>
    <w:p w:rsidR="00A97587" w:rsidRDefault="00A97587" w:rsidP="000B4017">
      <w:pPr>
        <w:pStyle w:val="Heading1"/>
        <w:numPr>
          <w:ilvl w:val="0"/>
          <w:numId w:val="16"/>
        </w:numPr>
        <w:ind w:left="0" w:firstLine="0"/>
      </w:pPr>
      <w:bookmarkStart w:id="13" w:name="_Toc373847346"/>
      <w:bookmarkStart w:id="14" w:name="_Toc374016057"/>
      <w:r w:rsidRPr="00AD2AD2">
        <w:t>Диагностика туберкулеза органов дыхания</w:t>
      </w:r>
      <w:bookmarkEnd w:id="13"/>
      <w:bookmarkEnd w:id="14"/>
    </w:p>
    <w:p w:rsidR="00A97587" w:rsidRPr="00357805" w:rsidRDefault="00A97587" w:rsidP="00357805"/>
    <w:tbl>
      <w:tblPr>
        <w:tblW w:w="0" w:type="auto"/>
        <w:tblLook w:val="0000"/>
      </w:tblPr>
      <w:tblGrid>
        <w:gridCol w:w="648"/>
        <w:gridCol w:w="8922"/>
      </w:tblGrid>
      <w:tr w:rsidR="00A97587" w:rsidTr="00C510A2">
        <w:tc>
          <w:tcPr>
            <w:tcW w:w="648" w:type="dxa"/>
            <w:shd w:val="clear" w:color="auto" w:fill="8C8C8C"/>
            <w:vAlign w:val="center"/>
          </w:tcPr>
          <w:p w:rsidR="00A97587" w:rsidRPr="00B130CE" w:rsidRDefault="00A97587" w:rsidP="00C510A2">
            <w:pPr>
              <w:pStyle w:val="a0"/>
              <w:spacing w:before="60" w:after="60"/>
              <w:jc w:val="center"/>
              <w:rPr>
                <w:rFonts w:ascii="Arial" w:hAnsi="Arial"/>
                <w:b/>
                <w:color w:val="FFFFFF"/>
              </w:rPr>
            </w:pPr>
            <w:r w:rsidRPr="00B130CE">
              <w:rPr>
                <w:rFonts w:ascii="Arial" w:hAnsi="Arial"/>
                <w:b/>
                <w:color w:val="FFFFFF"/>
              </w:rPr>
              <w:t>С</w:t>
            </w:r>
          </w:p>
        </w:tc>
        <w:tc>
          <w:tcPr>
            <w:tcW w:w="8922" w:type="dxa"/>
            <w:vAlign w:val="center"/>
          </w:tcPr>
          <w:p w:rsidR="00A97587" w:rsidRPr="00B130CE" w:rsidRDefault="00A97587" w:rsidP="00C510A2">
            <w:pPr>
              <w:pStyle w:val="a0"/>
              <w:rPr>
                <w:rFonts w:ascii="Arial" w:hAnsi="Arial"/>
                <w:i/>
              </w:rPr>
            </w:pPr>
            <w:r w:rsidRPr="00B130CE">
              <w:rPr>
                <w:rFonts w:ascii="Arial" w:hAnsi="Arial"/>
                <w:i/>
                <w:sz w:val="24"/>
                <w:szCs w:val="24"/>
              </w:rPr>
              <w:t xml:space="preserve">Процесс диагностики включает несколько этапов, начиная с </w:t>
            </w:r>
            <w:r w:rsidRPr="00B130CE">
              <w:rPr>
                <w:rFonts w:ascii="Arial" w:hAnsi="Arial"/>
                <w:i/>
              </w:rPr>
              <w:t>выявления признаков туберкулеза при обращении за медицинской помощью и в группах риска по заболеванию туберкулезом</w:t>
            </w:r>
          </w:p>
        </w:tc>
      </w:tr>
    </w:tbl>
    <w:p w:rsidR="00A97587" w:rsidRPr="004D6B46" w:rsidRDefault="00A97587" w:rsidP="00136C1B">
      <w:pPr>
        <w:pStyle w:val="Heading2"/>
        <w:numPr>
          <w:ilvl w:val="1"/>
          <w:numId w:val="16"/>
        </w:numPr>
        <w:ind w:left="0" w:firstLine="0"/>
      </w:pPr>
      <w:bookmarkStart w:id="15" w:name="_Toc373847347"/>
      <w:bookmarkStart w:id="16" w:name="_Toc374016058"/>
      <w:r w:rsidRPr="004D6B46">
        <w:t>Алгоритм диагностики туберкулеза органов дыхания</w:t>
      </w:r>
      <w:bookmarkEnd w:id="15"/>
      <w:bookmarkEnd w:id="16"/>
    </w:p>
    <w:p w:rsidR="00A97587" w:rsidRPr="009172EE" w:rsidRDefault="00A97587" w:rsidP="000B4017">
      <w:pPr>
        <w:pStyle w:val="Heading3"/>
        <w:numPr>
          <w:ilvl w:val="2"/>
          <w:numId w:val="16"/>
        </w:numPr>
      </w:pPr>
      <w:bookmarkStart w:id="17" w:name="_Toc373847348"/>
      <w:r w:rsidRPr="009172EE">
        <w:t>Отбор лиц с подозрительными в отношении туберкулеза клиническими и/или рентгенологическими симптомами.</w:t>
      </w:r>
      <w:bookmarkEnd w:id="17"/>
    </w:p>
    <w:p w:rsidR="00A97587" w:rsidRPr="005B5CD0" w:rsidRDefault="00A97587" w:rsidP="000B4017">
      <w:pPr>
        <w:pStyle w:val="ListBullet"/>
        <w:numPr>
          <w:ilvl w:val="0"/>
          <w:numId w:val="17"/>
        </w:numPr>
      </w:pPr>
      <w:r w:rsidRPr="005B5CD0">
        <w:t>Лица, у которых при профилактическом обследовании выявлены изменения, подозрительные на туберкулез.</w:t>
      </w:r>
    </w:p>
    <w:p w:rsidR="00A97587" w:rsidRPr="004D6B46" w:rsidRDefault="00A97587" w:rsidP="000B4017">
      <w:pPr>
        <w:pStyle w:val="ListBullet"/>
        <w:numPr>
          <w:ilvl w:val="0"/>
          <w:numId w:val="17"/>
        </w:numPr>
      </w:pPr>
      <w:r>
        <w:t>Л</w:t>
      </w:r>
      <w:r w:rsidRPr="004D6B46">
        <w:t>иц</w:t>
      </w:r>
      <w:r>
        <w:t>а</w:t>
      </w:r>
      <w:r w:rsidRPr="004D6B46">
        <w:t xml:space="preserve">, </w:t>
      </w:r>
      <w:r w:rsidRPr="005B5CD0">
        <w:t>обратившиеся</w:t>
      </w:r>
      <w:r w:rsidRPr="004D6B46">
        <w:t xml:space="preserve"> за медицинской помощью в </w:t>
      </w:r>
      <w:r w:rsidRPr="00372A5D">
        <w:t>организаци</w:t>
      </w:r>
      <w:r>
        <w:t>и</w:t>
      </w:r>
      <w:r w:rsidRPr="00372A5D">
        <w:t>, оказывающи</w:t>
      </w:r>
      <w:r>
        <w:t>е</w:t>
      </w:r>
      <w:r w:rsidRPr="00372A5D">
        <w:t xml:space="preserve"> первичную медико-санитарную помощь (ПМСП)</w:t>
      </w:r>
      <w:r>
        <w:t xml:space="preserve"> с жалобами или симптомами, подозрительными в отношении туберкулеза: </w:t>
      </w:r>
      <w:r w:rsidRPr="004D6B46">
        <w:t xml:space="preserve">симптомами общей интоксикации (лихорадка, </w:t>
      </w:r>
      <w:r w:rsidRPr="004D6B46">
        <w:rPr>
          <w:b/>
          <w:bCs/>
        </w:rPr>
        <w:t>потливость, потеря массы тела, потеря аппетита, быстрая утомляемость</w:t>
      </w:r>
      <w:r w:rsidRPr="004D6B46">
        <w:t xml:space="preserve">), продолжающейся 2 недели и более; а также лица, у которых кашель продолжается более 3-х недель, а также лица с кровохарканьем, </w:t>
      </w:r>
      <w:r w:rsidRPr="004D6B46">
        <w:rPr>
          <w:b/>
          <w:bCs/>
        </w:rPr>
        <w:t>болью в груди, одышкой;</w:t>
      </w:r>
    </w:p>
    <w:p w:rsidR="00A97587" w:rsidRPr="004D6B46" w:rsidRDefault="00A97587" w:rsidP="000B4017">
      <w:pPr>
        <w:pStyle w:val="Heading3"/>
        <w:numPr>
          <w:ilvl w:val="2"/>
          <w:numId w:val="16"/>
        </w:numPr>
      </w:pPr>
      <w:bookmarkStart w:id="18" w:name="_Toc373847349"/>
      <w:r>
        <w:t>О</w:t>
      </w:r>
      <w:r w:rsidRPr="004D6B46">
        <w:t xml:space="preserve">бследование в </w:t>
      </w:r>
      <w:r w:rsidRPr="00372A5D">
        <w:t>организациях</w:t>
      </w:r>
      <w:r>
        <w:t xml:space="preserve"> </w:t>
      </w:r>
      <w:r w:rsidRPr="00372A5D">
        <w:t>ПМСП</w:t>
      </w:r>
      <w:r w:rsidRPr="004D6B46">
        <w:t>:</w:t>
      </w:r>
      <w:bookmarkEnd w:id="18"/>
    </w:p>
    <w:p w:rsidR="00A97587" w:rsidRPr="00192261" w:rsidRDefault="00A97587" w:rsidP="000B4017">
      <w:pPr>
        <w:spacing w:line="240" w:lineRule="auto"/>
        <w:ind w:firstLine="357"/>
        <w:jc w:val="both"/>
        <w:rPr>
          <w:b/>
          <w:sz w:val="24"/>
          <w:szCs w:val="24"/>
        </w:rPr>
      </w:pPr>
      <w:r w:rsidRPr="00192261">
        <w:rPr>
          <w:sz w:val="24"/>
          <w:szCs w:val="24"/>
        </w:rPr>
        <w:t xml:space="preserve">В </w:t>
      </w:r>
      <w:r>
        <w:rPr>
          <w:b/>
          <w:sz w:val="24"/>
          <w:szCs w:val="24"/>
        </w:rPr>
        <w:t>о</w:t>
      </w:r>
      <w:r w:rsidRPr="00E97871">
        <w:rPr>
          <w:b/>
          <w:sz w:val="24"/>
          <w:szCs w:val="24"/>
        </w:rPr>
        <w:t>бязательный диагностический минимум (ОДМ)</w:t>
      </w:r>
      <w:r w:rsidRPr="00192261">
        <w:rPr>
          <w:sz w:val="24"/>
          <w:szCs w:val="24"/>
        </w:rPr>
        <w:t xml:space="preserve"> обследования пациента при подозрении на туберкулез органов дыхания должны входить</w:t>
      </w:r>
      <w:r w:rsidRPr="004836FE">
        <w:rPr>
          <w:sz w:val="24"/>
          <w:szCs w:val="24"/>
        </w:rPr>
        <w:t>:</w:t>
      </w:r>
    </w:p>
    <w:p w:rsidR="00A97587" w:rsidRDefault="00A97587" w:rsidP="000B4017">
      <w:pPr>
        <w:pStyle w:val="ListBullet"/>
        <w:numPr>
          <w:ilvl w:val="0"/>
          <w:numId w:val="17"/>
        </w:numPr>
      </w:pPr>
      <w:r>
        <w:t>Трех</w:t>
      </w:r>
      <w:r w:rsidRPr="004D6B46">
        <w:t xml:space="preserve">кратное  исследование мокроты на наличие кислотоустойчивых бактерий (КУБ). </w:t>
      </w:r>
    </w:p>
    <w:p w:rsidR="00A97587" w:rsidRPr="00FE6F5E" w:rsidRDefault="00A97587" w:rsidP="000B4017">
      <w:pPr>
        <w:pStyle w:val="ListBullet"/>
        <w:numPr>
          <w:ilvl w:val="0"/>
          <w:numId w:val="17"/>
        </w:numPr>
      </w:pPr>
      <w:r w:rsidRPr="00FE6F5E">
        <w:t>Рентгенологическое исследование органов грудной клетки.</w:t>
      </w:r>
    </w:p>
    <w:p w:rsidR="00A97587" w:rsidRDefault="00A97587" w:rsidP="000B4017">
      <w:pPr>
        <w:pStyle w:val="ListBullet"/>
        <w:numPr>
          <w:ilvl w:val="0"/>
          <w:numId w:val="17"/>
        </w:numPr>
      </w:pPr>
      <w:r w:rsidRPr="004D6B46">
        <w:t>Общеклинический анализ крови.</w:t>
      </w:r>
    </w:p>
    <w:p w:rsidR="00A97587" w:rsidRPr="004D6B46" w:rsidRDefault="00A97587" w:rsidP="00357805">
      <w:pPr>
        <w:pStyle w:val="ListBullet"/>
        <w:numPr>
          <w:ilvl w:val="0"/>
          <w:numId w:val="0"/>
        </w:numPr>
      </w:pPr>
    </w:p>
    <w:tbl>
      <w:tblPr>
        <w:tblW w:w="0" w:type="auto"/>
        <w:tblLook w:val="0000"/>
      </w:tblPr>
      <w:tblGrid>
        <w:gridCol w:w="648"/>
        <w:gridCol w:w="8922"/>
      </w:tblGrid>
      <w:tr w:rsidR="00A97587" w:rsidTr="00C510A2">
        <w:tc>
          <w:tcPr>
            <w:tcW w:w="648" w:type="dxa"/>
            <w:shd w:val="clear" w:color="auto" w:fill="8C8C8C"/>
            <w:vAlign w:val="center"/>
          </w:tcPr>
          <w:p w:rsidR="00A97587" w:rsidRPr="00B130CE" w:rsidRDefault="00A97587" w:rsidP="00C510A2">
            <w:pPr>
              <w:pStyle w:val="a0"/>
              <w:spacing w:before="60" w:after="60"/>
              <w:jc w:val="center"/>
              <w:rPr>
                <w:rFonts w:ascii="Arial" w:hAnsi="Arial"/>
                <w:b/>
                <w:color w:val="FFFFFF"/>
              </w:rPr>
            </w:pPr>
            <w:bookmarkStart w:id="19" w:name="_Toc373847350"/>
            <w:r w:rsidRPr="00B130CE">
              <w:rPr>
                <w:rFonts w:ascii="Arial" w:hAnsi="Arial"/>
                <w:b/>
                <w:color w:val="FFFFFF"/>
              </w:rPr>
              <w:t>С</w:t>
            </w:r>
          </w:p>
        </w:tc>
        <w:tc>
          <w:tcPr>
            <w:tcW w:w="8922" w:type="dxa"/>
            <w:vAlign w:val="center"/>
          </w:tcPr>
          <w:p w:rsidR="00A97587" w:rsidRPr="00072A31" w:rsidRDefault="00A97587" w:rsidP="00C510A2">
            <w:pPr>
              <w:pStyle w:val="a0"/>
              <w:rPr>
                <w:rFonts w:ascii="Arial" w:hAnsi="Arial"/>
                <w:i/>
              </w:rPr>
            </w:pPr>
            <w:r w:rsidRPr="00072A31">
              <w:rPr>
                <w:rFonts w:ascii="Arial" w:hAnsi="Arial" w:cs="Cambria"/>
                <w:i/>
                <w:lang w:eastAsia="ru-RU"/>
              </w:rPr>
              <w:t>Посев мокроты на жидкие среды настоятельно рекомендуется</w:t>
            </w:r>
          </w:p>
        </w:tc>
      </w:tr>
      <w:tr w:rsidR="00A97587" w:rsidTr="00C510A2">
        <w:tc>
          <w:tcPr>
            <w:tcW w:w="648" w:type="dxa"/>
            <w:shd w:val="clear" w:color="auto" w:fill="8C8C8C"/>
            <w:vAlign w:val="center"/>
          </w:tcPr>
          <w:p w:rsidR="00A97587" w:rsidRPr="00B130CE" w:rsidRDefault="00A97587" w:rsidP="00C510A2">
            <w:pPr>
              <w:pStyle w:val="a0"/>
              <w:jc w:val="center"/>
              <w:rPr>
                <w:rFonts w:ascii="Arial" w:hAnsi="Arial"/>
                <w:b/>
                <w:color w:val="FFFFFF"/>
              </w:rPr>
            </w:pPr>
            <w:r w:rsidRPr="00B130CE">
              <w:rPr>
                <w:rFonts w:ascii="Arial" w:hAnsi="Arial"/>
                <w:b/>
                <w:color w:val="FFFFFF"/>
              </w:rPr>
              <w:t>С</w:t>
            </w:r>
          </w:p>
        </w:tc>
        <w:tc>
          <w:tcPr>
            <w:tcW w:w="8922" w:type="dxa"/>
            <w:vAlign w:val="center"/>
          </w:tcPr>
          <w:p w:rsidR="00A97587" w:rsidRPr="00072A31" w:rsidRDefault="00A97587" w:rsidP="00C510A2">
            <w:pPr>
              <w:pStyle w:val="a0"/>
              <w:rPr>
                <w:rFonts w:ascii="Arial" w:hAnsi="Arial"/>
                <w:i/>
                <w:sz w:val="24"/>
                <w:szCs w:val="24"/>
              </w:rPr>
            </w:pPr>
            <w:r w:rsidRPr="00072A31">
              <w:rPr>
                <w:rFonts w:ascii="Arial" w:hAnsi="Arial" w:cs="Cambria"/>
                <w:i/>
                <w:lang w:eastAsia="ru-RU"/>
              </w:rPr>
              <w:t>Перед началом лечения назначить 2-кратное исследование мокроты или другого</w:t>
            </w:r>
            <w:r>
              <w:rPr>
                <w:rFonts w:ascii="Arial" w:hAnsi="Arial" w:cs="Cambria"/>
                <w:i/>
                <w:lang w:eastAsia="ru-RU"/>
              </w:rPr>
              <w:t xml:space="preserve"> </w:t>
            </w:r>
            <w:r w:rsidRPr="00072A31">
              <w:rPr>
                <w:rFonts w:ascii="Arial" w:hAnsi="Arial" w:cs="Cambria"/>
                <w:i/>
                <w:lang w:eastAsia="ru-RU"/>
              </w:rPr>
              <w:t>патологического материала на лекарственную чувствительность МБТ на жидких</w:t>
            </w:r>
            <w:r>
              <w:rPr>
                <w:rFonts w:ascii="Arial" w:hAnsi="Arial" w:cs="Cambria"/>
                <w:i/>
                <w:lang w:eastAsia="ru-RU"/>
              </w:rPr>
              <w:t xml:space="preserve"> </w:t>
            </w:r>
            <w:r w:rsidRPr="00072A31">
              <w:rPr>
                <w:rFonts w:ascii="Arial" w:hAnsi="Arial" w:cs="Cambria"/>
                <w:i/>
                <w:lang w:eastAsia="ru-RU"/>
              </w:rPr>
              <w:t>и/или твердых средах</w:t>
            </w:r>
          </w:p>
        </w:tc>
      </w:tr>
      <w:tr w:rsidR="00A97587" w:rsidTr="00C510A2">
        <w:tc>
          <w:tcPr>
            <w:tcW w:w="648" w:type="dxa"/>
            <w:shd w:val="clear" w:color="auto" w:fill="8C8C8C"/>
            <w:vAlign w:val="center"/>
          </w:tcPr>
          <w:p w:rsidR="00A97587" w:rsidRPr="00B130CE" w:rsidRDefault="00A97587" w:rsidP="00C510A2">
            <w:pPr>
              <w:pStyle w:val="a0"/>
              <w:jc w:val="center"/>
              <w:rPr>
                <w:rFonts w:ascii="Arial" w:hAnsi="Arial"/>
                <w:b/>
                <w:color w:val="FFFFFF"/>
              </w:rPr>
            </w:pPr>
            <w:r w:rsidRPr="00B130CE">
              <w:rPr>
                <w:rFonts w:ascii="Arial" w:hAnsi="Arial"/>
                <w:b/>
                <w:color w:val="FFFFFF"/>
              </w:rPr>
              <w:t>С</w:t>
            </w:r>
          </w:p>
        </w:tc>
        <w:tc>
          <w:tcPr>
            <w:tcW w:w="8922" w:type="dxa"/>
            <w:vAlign w:val="center"/>
          </w:tcPr>
          <w:p w:rsidR="00A97587" w:rsidRPr="00072A31" w:rsidRDefault="00A97587" w:rsidP="00C510A2">
            <w:pPr>
              <w:pStyle w:val="a0"/>
              <w:rPr>
                <w:rFonts w:ascii="Arial" w:hAnsi="Arial"/>
                <w:i/>
                <w:sz w:val="24"/>
                <w:szCs w:val="24"/>
              </w:rPr>
            </w:pPr>
            <w:r w:rsidRPr="00072A31">
              <w:rPr>
                <w:rFonts w:ascii="Arial" w:hAnsi="Arial" w:cs="Cambria"/>
                <w:i/>
                <w:lang w:eastAsia="ru-RU"/>
              </w:rPr>
              <w:t>Перед началом лечения назначить молекулярно-генетические методы диагностики</w:t>
            </w:r>
            <w:r>
              <w:rPr>
                <w:rFonts w:ascii="Arial" w:hAnsi="Arial" w:cs="Cambria"/>
                <w:i/>
                <w:lang w:eastAsia="ru-RU"/>
              </w:rPr>
              <w:t xml:space="preserve"> </w:t>
            </w:r>
            <w:r w:rsidRPr="00072A31">
              <w:rPr>
                <w:rFonts w:ascii="Arial" w:hAnsi="Arial" w:cs="Cambria"/>
                <w:i/>
                <w:lang w:eastAsia="ru-RU"/>
              </w:rPr>
              <w:t>лекарственной устойчивости МБТ к изониазиду и рифампицину или только к</w:t>
            </w:r>
            <w:r>
              <w:rPr>
                <w:rFonts w:ascii="Arial" w:hAnsi="Arial" w:cs="Cambria"/>
                <w:i/>
                <w:lang w:eastAsia="ru-RU"/>
              </w:rPr>
              <w:t xml:space="preserve"> </w:t>
            </w:r>
            <w:r w:rsidRPr="00072A31">
              <w:rPr>
                <w:rFonts w:ascii="Arial" w:hAnsi="Arial" w:cs="Cambria"/>
                <w:i/>
                <w:lang w:eastAsia="ru-RU"/>
              </w:rPr>
              <w:t>рифампицину</w:t>
            </w:r>
          </w:p>
        </w:tc>
      </w:tr>
    </w:tbl>
    <w:p w:rsidR="00A97587" w:rsidRPr="0034760E" w:rsidRDefault="00A97587" w:rsidP="000B4017">
      <w:pPr>
        <w:pStyle w:val="Heading3"/>
        <w:numPr>
          <w:ilvl w:val="2"/>
          <w:numId w:val="16"/>
        </w:numPr>
      </w:pPr>
      <w:r w:rsidRPr="0034760E">
        <w:t>Обследование в организациях, оказывающих специализированную противотуберкулёзную помощь (как правило – противотуберкулёзный диспансер – ПТД).</w:t>
      </w:r>
      <w:bookmarkEnd w:id="19"/>
      <w:r w:rsidRPr="0034760E">
        <w:t xml:space="preserve"> </w:t>
      </w:r>
    </w:p>
    <w:p w:rsidR="00A97587" w:rsidRPr="00192261" w:rsidRDefault="00A97587" w:rsidP="000B4017">
      <w:pPr>
        <w:spacing w:before="240" w:after="0" w:line="240" w:lineRule="auto"/>
        <w:ind w:left="550"/>
        <w:jc w:val="both"/>
        <w:rPr>
          <w:rFonts w:ascii="Times New Roman" w:hAnsi="Times New Roman"/>
        </w:rPr>
      </w:pPr>
      <w:r w:rsidRPr="00192261">
        <w:rPr>
          <w:rFonts w:ascii="Times New Roman" w:hAnsi="Times New Roman"/>
          <w:sz w:val="24"/>
          <w:szCs w:val="24"/>
        </w:rPr>
        <w:t xml:space="preserve">3.1.3.1. </w:t>
      </w:r>
      <w:r w:rsidRPr="004413F8">
        <w:rPr>
          <w:rFonts w:ascii="Times New Roman" w:hAnsi="Times New Roman"/>
          <w:sz w:val="24"/>
          <w:szCs w:val="24"/>
        </w:rPr>
        <w:t>В комплекс обязательных методов исследования (ОМИ) при диагностике туберкулеза органов дыхания:</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сбор жалоб и анамнеза;</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физикальное обследование;</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 xml:space="preserve">исследование мокроты и иного доступного диагностического материала на микобактерии туберкулеза (молекулярно-генетический метод, микроскопия, посев на жидкие/плотные питательные среды) не менее, чем двукратно; </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исследование мокроты и иного доступного диагностического материала из двух образцов на лекарственную чувствительность МБТ молекулярно-генетическим</w:t>
      </w:r>
      <w:r>
        <w:rPr>
          <w:rFonts w:ascii="Times New Roman" w:hAnsi="Times New Roman"/>
          <w:sz w:val="24"/>
        </w:rPr>
        <w:t>, или культуры МБТ, выделенные из образцов диагностического материала – молекулярно-генетическим и/или микробиологическим методом.</w:t>
      </w:r>
      <w:r w:rsidRPr="00192261">
        <w:rPr>
          <w:rFonts w:ascii="Times New Roman" w:hAnsi="Times New Roman"/>
          <w:sz w:val="24"/>
        </w:rPr>
        <w:t xml:space="preserve"> При двукратном выявлении ЛУ</w:t>
      </w:r>
      <w:r>
        <w:rPr>
          <w:rFonts w:ascii="Times New Roman" w:hAnsi="Times New Roman"/>
          <w:sz w:val="24"/>
        </w:rPr>
        <w:t xml:space="preserve"> </w:t>
      </w:r>
      <w:r w:rsidRPr="00192261">
        <w:rPr>
          <w:rFonts w:ascii="Times New Roman" w:hAnsi="Times New Roman"/>
          <w:sz w:val="24"/>
        </w:rPr>
        <w:t xml:space="preserve">исследования лекарственной чувствительности к этим препаратам не дублируются; </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рентгенография органов грудной клетки, включая рентгентомографическое исследование на оптимальных срезах, при возможности компьютерная томография;</w:t>
      </w:r>
    </w:p>
    <w:p w:rsidR="00A97587"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клинические анализы крови, мочи</w:t>
      </w:r>
      <w:r>
        <w:rPr>
          <w:rFonts w:ascii="Times New Roman" w:hAnsi="Times New Roman"/>
          <w:sz w:val="24"/>
        </w:rPr>
        <w:t>;</w:t>
      </w:r>
    </w:p>
    <w:p w:rsidR="00A97587" w:rsidRPr="004413F8" w:rsidRDefault="00A97587" w:rsidP="000B4017">
      <w:pPr>
        <w:pStyle w:val="ListBullet"/>
        <w:widowControl w:val="0"/>
        <w:numPr>
          <w:ilvl w:val="0"/>
          <w:numId w:val="18"/>
        </w:numPr>
        <w:tabs>
          <w:tab w:val="left" w:pos="720"/>
        </w:tabs>
        <w:jc w:val="both"/>
      </w:pPr>
      <w:r w:rsidRPr="0034760E">
        <w:t>ЭКГ</w:t>
      </w:r>
      <w:r w:rsidRPr="004413F8">
        <w:t>.</w:t>
      </w:r>
    </w:p>
    <w:p w:rsidR="00A97587" w:rsidRPr="00192261" w:rsidRDefault="00A97587" w:rsidP="000B4017">
      <w:pPr>
        <w:tabs>
          <w:tab w:val="left" w:pos="720"/>
        </w:tabs>
        <w:spacing w:before="240" w:after="0" w:line="240" w:lineRule="auto"/>
        <w:ind w:left="550"/>
        <w:jc w:val="both"/>
        <w:rPr>
          <w:rFonts w:ascii="Times New Roman" w:hAnsi="Times New Roman"/>
        </w:rPr>
      </w:pPr>
      <w:r w:rsidRPr="00192261">
        <w:rPr>
          <w:rFonts w:ascii="Times New Roman" w:hAnsi="Times New Roman"/>
        </w:rPr>
        <w:t xml:space="preserve">3.1.3.2. При подтверждении диагноза туберкулеза перед началом лечения необходимо проведение </w:t>
      </w:r>
      <w:r>
        <w:rPr>
          <w:rFonts w:ascii="Times New Roman" w:hAnsi="Times New Roman"/>
        </w:rPr>
        <w:t xml:space="preserve">также </w:t>
      </w:r>
      <w:r w:rsidRPr="00192261">
        <w:rPr>
          <w:rFonts w:ascii="Times New Roman" w:hAnsi="Times New Roman"/>
        </w:rPr>
        <w:t>следующих исследований:</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серологическое исследование на сифилис;</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исследование крови на антитела к ВИЧ;</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исследование крови на антитела к вирусам гепатита;</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определение содержания билирубина, АЛТ, АСТ в крови;</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определение содержания глюкозы/сахар в крови;</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определение  клиренса креатинина;</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ЭКГ;</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осмотр окулиста перед назначением этамбутола;</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осмотр ЛОР-врача перед назначением аминогликозидов или полипептида.</w:t>
      </w:r>
    </w:p>
    <w:p w:rsidR="00A97587" w:rsidRPr="004D6B46" w:rsidRDefault="00A97587" w:rsidP="000B4017">
      <w:pPr>
        <w:spacing w:line="240" w:lineRule="auto"/>
        <w:jc w:val="both"/>
        <w:rPr>
          <w:sz w:val="24"/>
          <w:szCs w:val="24"/>
        </w:rPr>
      </w:pPr>
    </w:p>
    <w:p w:rsidR="00A97587" w:rsidRPr="004D6B46" w:rsidRDefault="00A97587" w:rsidP="000B4017">
      <w:pPr>
        <w:pStyle w:val="Heading3"/>
        <w:numPr>
          <w:ilvl w:val="2"/>
          <w:numId w:val="16"/>
        </w:numPr>
      </w:pPr>
      <w:bookmarkStart w:id="20" w:name="_Toc373847351"/>
      <w:r>
        <w:t>По показаниям для подтверждения и уточнения диагноза туберкулеза, проведения дифференциальной диагностики</w:t>
      </w:r>
      <w:r w:rsidRPr="003022C9">
        <w:t xml:space="preserve"> </w:t>
      </w:r>
      <w:r w:rsidRPr="004D6B46">
        <w:t>проводятся дополнительные методы исследования (ДМИ):</w:t>
      </w:r>
      <w:bookmarkEnd w:id="20"/>
    </w:p>
    <w:p w:rsidR="00A97587" w:rsidRPr="00192261" w:rsidRDefault="00A97587" w:rsidP="000B4017">
      <w:pPr>
        <w:spacing w:before="240" w:after="0" w:line="240" w:lineRule="auto"/>
        <w:ind w:left="550"/>
        <w:jc w:val="both"/>
        <w:rPr>
          <w:rFonts w:ascii="Times New Roman" w:hAnsi="Times New Roman"/>
          <w:sz w:val="24"/>
        </w:rPr>
      </w:pPr>
      <w:r w:rsidRPr="00192261">
        <w:rPr>
          <w:rFonts w:ascii="Times New Roman" w:hAnsi="Times New Roman"/>
          <w:sz w:val="24"/>
        </w:rPr>
        <w:t>3.1.4.1  Неинвазивные</w:t>
      </w:r>
    </w:p>
    <w:p w:rsidR="00A97587" w:rsidRPr="0034760E" w:rsidRDefault="00A97587" w:rsidP="000B4017">
      <w:pPr>
        <w:pStyle w:val="ListBullet"/>
        <w:numPr>
          <w:ilvl w:val="0"/>
          <w:numId w:val="17"/>
        </w:numPr>
      </w:pPr>
      <w:r w:rsidRPr="0034760E">
        <w:t>Этиологические методы в соответствии с разделом 4.2.</w:t>
      </w:r>
    </w:p>
    <w:p w:rsidR="00A97587" w:rsidRPr="005B5CD0" w:rsidRDefault="00A97587" w:rsidP="000B4017">
      <w:pPr>
        <w:pStyle w:val="ListBullet"/>
        <w:numPr>
          <w:ilvl w:val="0"/>
          <w:numId w:val="17"/>
        </w:numPr>
      </w:pPr>
      <w:r w:rsidRPr="005B5CD0">
        <w:t>Спиральная компьютерная томография в алгоритме высокого разрешения с шагом томографа не более 2-мм легких и средостения.</w:t>
      </w:r>
    </w:p>
    <w:p w:rsidR="00A97587" w:rsidRPr="00192261" w:rsidRDefault="00A97587" w:rsidP="001A0B4C">
      <w:pPr>
        <w:pStyle w:val="ListBullet"/>
        <w:numPr>
          <w:ilvl w:val="0"/>
          <w:numId w:val="17"/>
        </w:numPr>
      </w:pPr>
      <w:r>
        <w:t>Проба Манту 2ТЕ, Диаскинтест</w:t>
      </w:r>
      <w:r w:rsidRPr="00192261">
        <w:t>.</w:t>
      </w:r>
    </w:p>
    <w:p w:rsidR="00A97587" w:rsidRPr="005B5CD0" w:rsidRDefault="00A97587" w:rsidP="000B4017">
      <w:pPr>
        <w:pStyle w:val="ListBullet"/>
        <w:numPr>
          <w:ilvl w:val="0"/>
          <w:numId w:val="17"/>
        </w:numPr>
      </w:pPr>
      <w:r w:rsidRPr="005B5CD0">
        <w:t>ИФА к антигенам МБТ.</w:t>
      </w:r>
    </w:p>
    <w:p w:rsidR="00A97587" w:rsidRPr="00192261" w:rsidRDefault="00A97587" w:rsidP="000B4017">
      <w:pPr>
        <w:spacing w:before="240" w:after="0" w:line="240" w:lineRule="auto"/>
        <w:ind w:left="550"/>
        <w:jc w:val="both"/>
        <w:rPr>
          <w:rFonts w:ascii="Times New Roman" w:hAnsi="Times New Roman"/>
          <w:sz w:val="24"/>
        </w:rPr>
      </w:pPr>
      <w:r w:rsidRPr="00192261">
        <w:rPr>
          <w:rFonts w:ascii="Times New Roman" w:hAnsi="Times New Roman"/>
          <w:sz w:val="24"/>
        </w:rPr>
        <w:t>3.1.4.2.  Инвазивные (по показаниям) – с целью верификации диагноза:</w:t>
      </w:r>
    </w:p>
    <w:p w:rsidR="00A97587" w:rsidRPr="0034760E" w:rsidRDefault="00A97587" w:rsidP="000B4017">
      <w:pPr>
        <w:pStyle w:val="ListBullet"/>
        <w:numPr>
          <w:ilvl w:val="0"/>
          <w:numId w:val="17"/>
        </w:numPr>
      </w:pPr>
      <w:r w:rsidRPr="0034760E">
        <w:t>Бронхоскопия со взятием  диагностического материала при  катетер-биопсии, браш-биопсии, транстрахеальной и трансбронхиальной пункции, проведении бронхоальвеолярного лаважа, прямой биопсии слизистой оболочки бронхов и патологических образований в них.</w:t>
      </w:r>
    </w:p>
    <w:p w:rsidR="00A97587" w:rsidRPr="0034760E" w:rsidRDefault="00A97587" w:rsidP="000B4017">
      <w:pPr>
        <w:pStyle w:val="ListBullet"/>
        <w:numPr>
          <w:ilvl w:val="0"/>
          <w:numId w:val="17"/>
        </w:numPr>
      </w:pPr>
      <w:r w:rsidRPr="0034760E">
        <w:t xml:space="preserve">Трансторакальная аспирационная биопсия легкого. </w:t>
      </w:r>
    </w:p>
    <w:p w:rsidR="00A97587" w:rsidRPr="0034760E" w:rsidRDefault="00A97587" w:rsidP="000B4017">
      <w:pPr>
        <w:pStyle w:val="ListBullet"/>
        <w:numPr>
          <w:ilvl w:val="0"/>
          <w:numId w:val="17"/>
        </w:numPr>
      </w:pPr>
      <w:r w:rsidRPr="0034760E">
        <w:t xml:space="preserve">Пункционная биопсия плевры. </w:t>
      </w:r>
    </w:p>
    <w:p w:rsidR="00A97587" w:rsidRPr="0034760E" w:rsidRDefault="00A97587" w:rsidP="000B4017">
      <w:pPr>
        <w:pStyle w:val="ListBullet"/>
        <w:numPr>
          <w:ilvl w:val="0"/>
          <w:numId w:val="17"/>
        </w:numPr>
      </w:pPr>
      <w:r w:rsidRPr="0034760E">
        <w:t xml:space="preserve">Пункция периферического лимфатического узла. </w:t>
      </w:r>
    </w:p>
    <w:p w:rsidR="00A97587" w:rsidRPr="0034760E" w:rsidRDefault="00A97587" w:rsidP="000B4017">
      <w:pPr>
        <w:pStyle w:val="ListBullet"/>
        <w:numPr>
          <w:ilvl w:val="0"/>
          <w:numId w:val="17"/>
        </w:numPr>
      </w:pPr>
      <w:r w:rsidRPr="0034760E">
        <w:t xml:space="preserve">Диагностические операции: биопсия прескаленной клетчатки, медиастиноскопия, медиастинотомия, открытая биопсия легкого, плевроскопия. </w:t>
      </w:r>
    </w:p>
    <w:p w:rsidR="00A97587" w:rsidRDefault="00A97587" w:rsidP="000B4017">
      <w:pPr>
        <w:pStyle w:val="BodyText"/>
      </w:pPr>
      <w:r w:rsidRPr="00192261">
        <w:rPr>
          <w:lang w:val="ru-RU"/>
        </w:rPr>
        <w:t xml:space="preserve">Во всех случаях диагностический материал  исследуется цитологически, гистологически и  микробиологически (микроскопия, посев, ПЦР, ТЛЧ </w:t>
      </w:r>
      <w:r>
        <w:rPr>
          <w:lang w:val="ru-RU"/>
        </w:rPr>
        <w:t>микробиологическим</w:t>
      </w:r>
      <w:r w:rsidRPr="00192261">
        <w:rPr>
          <w:lang w:val="ru-RU"/>
        </w:rPr>
        <w:t xml:space="preserve"> и МГМ методом минимум из двух образцов).</w:t>
      </w:r>
    </w:p>
    <w:p w:rsidR="00A97587" w:rsidRDefault="00A97587" w:rsidP="000B4017">
      <w:pPr>
        <w:pStyle w:val="BodyText"/>
      </w:pPr>
    </w:p>
    <w:p w:rsidR="00A97587" w:rsidRPr="0034760E" w:rsidRDefault="00A97587" w:rsidP="000B4017">
      <w:pPr>
        <w:pStyle w:val="Heading3"/>
        <w:numPr>
          <w:ilvl w:val="2"/>
          <w:numId w:val="16"/>
        </w:numPr>
      </w:pPr>
      <w:bookmarkStart w:id="21" w:name="_Toc373847352"/>
      <w:r w:rsidRPr="0034760E">
        <w:t>Факультативные методы исследования (ФМИ) для оценки состояния других органов и систем.</w:t>
      </w:r>
      <w:bookmarkEnd w:id="21"/>
      <w:r w:rsidRPr="0034760E">
        <w:t xml:space="preserve">  </w:t>
      </w:r>
    </w:p>
    <w:p w:rsidR="00A97587" w:rsidRPr="0034760E" w:rsidRDefault="00A97587" w:rsidP="000B4017">
      <w:pPr>
        <w:pStyle w:val="ListBullet"/>
        <w:numPr>
          <w:ilvl w:val="0"/>
          <w:numId w:val="17"/>
        </w:numPr>
      </w:pPr>
      <w:r w:rsidRPr="0034760E">
        <w:t>Аудиометрия</w:t>
      </w:r>
    </w:p>
    <w:p w:rsidR="00A97587" w:rsidRPr="0034760E" w:rsidRDefault="00A97587" w:rsidP="000B4017">
      <w:pPr>
        <w:pStyle w:val="ListBullet"/>
        <w:numPr>
          <w:ilvl w:val="0"/>
          <w:numId w:val="17"/>
        </w:numPr>
      </w:pPr>
      <w:r w:rsidRPr="0034760E">
        <w:t xml:space="preserve">Радиоизотопная сцинтиграфия легких и внутригрудных лимфоузлов </w:t>
      </w:r>
    </w:p>
    <w:p w:rsidR="00A97587" w:rsidRDefault="00A97587" w:rsidP="000B4017">
      <w:pPr>
        <w:pStyle w:val="ListBullet"/>
        <w:numPr>
          <w:ilvl w:val="0"/>
          <w:numId w:val="17"/>
        </w:numPr>
      </w:pPr>
      <w:r w:rsidRPr="0034760E">
        <w:t xml:space="preserve">УЗИ  органов грудной полости и других паренхимтозных органов </w:t>
      </w:r>
    </w:p>
    <w:p w:rsidR="00A97587" w:rsidRDefault="00A97587" w:rsidP="000B4017">
      <w:pPr>
        <w:pStyle w:val="Heading3"/>
        <w:numPr>
          <w:ilvl w:val="2"/>
          <w:numId w:val="16"/>
        </w:numPr>
        <w:rPr>
          <w:rFonts w:eastAsia="Batang"/>
        </w:rPr>
      </w:pPr>
      <w:bookmarkStart w:id="22" w:name="_Toc373847353"/>
      <w:r w:rsidRPr="00192261">
        <w:rPr>
          <w:rFonts w:eastAsia="Batang"/>
        </w:rPr>
        <w:t xml:space="preserve">Контрольные </w:t>
      </w:r>
      <w:r w:rsidRPr="00192261">
        <w:t>обследования</w:t>
      </w:r>
      <w:r w:rsidRPr="00192261">
        <w:rPr>
          <w:rFonts w:eastAsia="Batang"/>
        </w:rPr>
        <w:t xml:space="preserve"> больных туберкулезом</w:t>
      </w:r>
      <w:bookmarkEnd w:id="22"/>
    </w:p>
    <w:p w:rsidR="00A97587" w:rsidRDefault="00A97587" w:rsidP="000B4017">
      <w:pPr>
        <w:pStyle w:val="BodyText"/>
        <w:rPr>
          <w:lang w:val="ru-RU"/>
        </w:rPr>
      </w:pPr>
      <w:r w:rsidRPr="00192261">
        <w:rPr>
          <w:lang w:val="ru-RU"/>
        </w:rPr>
        <w:t xml:space="preserve">Контрольные </w:t>
      </w:r>
      <w:r w:rsidRPr="00192261">
        <w:rPr>
          <w:rFonts w:eastAsia="Times New Roman"/>
          <w:lang w:val="ru-RU"/>
        </w:rPr>
        <w:t>обследования</w:t>
      </w:r>
      <w:r w:rsidRPr="00192261">
        <w:rPr>
          <w:lang w:val="ru-RU"/>
        </w:rPr>
        <w:t xml:space="preserve"> служат для определения динамики бактериовыделения и инволюции туберкулезных изменений в органах, контроля эффективности курса лечения и его переносимости, а также для контроля сопутствующих заболеваний.</w:t>
      </w:r>
    </w:p>
    <w:p w:rsidR="00A97587" w:rsidRPr="00192261" w:rsidRDefault="00A97587" w:rsidP="00142DB3">
      <w:pPr>
        <w:pStyle w:val="BodyText"/>
        <w:spacing w:before="0"/>
        <w:rPr>
          <w:lang w:val="ru-RU"/>
        </w:rPr>
      </w:pPr>
    </w:p>
    <w:tbl>
      <w:tblPr>
        <w:tblW w:w="0" w:type="auto"/>
        <w:tblLook w:val="0000"/>
      </w:tblPr>
      <w:tblGrid>
        <w:gridCol w:w="648"/>
        <w:gridCol w:w="8922"/>
      </w:tblGrid>
      <w:tr w:rsidR="00A97587" w:rsidTr="001A0B4C">
        <w:tc>
          <w:tcPr>
            <w:tcW w:w="648" w:type="dxa"/>
            <w:shd w:val="clear" w:color="auto" w:fill="8C8C8C"/>
            <w:vAlign w:val="center"/>
          </w:tcPr>
          <w:p w:rsidR="00A97587" w:rsidRPr="00142DB3" w:rsidRDefault="00A97587" w:rsidP="001A0B4C">
            <w:pPr>
              <w:pStyle w:val="a0"/>
              <w:spacing w:before="60" w:after="60"/>
              <w:jc w:val="center"/>
              <w:rPr>
                <w:rFonts w:ascii="Arial" w:hAnsi="Arial"/>
                <w:b/>
                <w:color w:val="FFFFFF"/>
              </w:rPr>
            </w:pPr>
            <w:r w:rsidRPr="00142DB3">
              <w:rPr>
                <w:rFonts w:ascii="Arial" w:hAnsi="Arial"/>
                <w:b/>
                <w:color w:val="FFFFFF"/>
              </w:rPr>
              <w:t>С</w:t>
            </w:r>
          </w:p>
        </w:tc>
        <w:tc>
          <w:tcPr>
            <w:tcW w:w="8922" w:type="dxa"/>
            <w:vAlign w:val="center"/>
          </w:tcPr>
          <w:p w:rsidR="00A97587" w:rsidRPr="00321871" w:rsidRDefault="00A97587" w:rsidP="001A0B4C">
            <w:pPr>
              <w:pStyle w:val="a0"/>
              <w:rPr>
                <w:rFonts w:ascii="Arial" w:hAnsi="Arial"/>
                <w:i/>
              </w:rPr>
            </w:pPr>
            <w:r w:rsidRPr="00321871">
              <w:rPr>
                <w:rFonts w:ascii="Arial" w:hAnsi="Arial"/>
                <w:i/>
              </w:rPr>
              <w:t>Основными методами оценки эффективности химиотерапии являются</w:t>
            </w:r>
            <w:r>
              <w:rPr>
                <w:rFonts w:ascii="Arial" w:hAnsi="Arial"/>
                <w:i/>
              </w:rPr>
              <w:t xml:space="preserve"> </w:t>
            </w:r>
            <w:r w:rsidRPr="00321871">
              <w:rPr>
                <w:rFonts w:ascii="Arial" w:hAnsi="Arial"/>
                <w:i/>
              </w:rPr>
              <w:t>микроскопические и культуральные исследования диагностического материала.</w:t>
            </w:r>
          </w:p>
        </w:tc>
      </w:tr>
    </w:tbl>
    <w:p w:rsidR="00A97587" w:rsidRDefault="00A97587" w:rsidP="00142DB3">
      <w:pPr>
        <w:pStyle w:val="BodyText"/>
        <w:spacing w:before="0"/>
        <w:rPr>
          <w:lang w:val="ru-RU"/>
        </w:rPr>
      </w:pPr>
    </w:p>
    <w:p w:rsidR="00A97587" w:rsidRPr="00192261" w:rsidRDefault="00A97587" w:rsidP="000B4017">
      <w:pPr>
        <w:pStyle w:val="BodyText"/>
        <w:rPr>
          <w:lang w:val="ru-RU"/>
        </w:rPr>
      </w:pPr>
      <w:r w:rsidRPr="00192261">
        <w:rPr>
          <w:lang w:val="ru-RU"/>
        </w:rPr>
        <w:t>Обязательными компонентами контрольного обследования являются:</w:t>
      </w:r>
    </w:p>
    <w:p w:rsidR="00A97587" w:rsidRPr="00192261" w:rsidRDefault="00A97587" w:rsidP="00F13EDC">
      <w:pPr>
        <w:widowControl w:val="0"/>
        <w:numPr>
          <w:ilvl w:val="0"/>
          <w:numId w:val="38"/>
        </w:numPr>
        <w:spacing w:after="0" w:line="240" w:lineRule="auto"/>
        <w:jc w:val="both"/>
        <w:rPr>
          <w:rFonts w:ascii="Times New Roman" w:hAnsi="Times New Roman"/>
          <w:sz w:val="24"/>
        </w:rPr>
      </w:pPr>
      <w:r w:rsidRPr="00192261">
        <w:rPr>
          <w:rFonts w:ascii="Times New Roman" w:hAnsi="Times New Roman"/>
          <w:sz w:val="24"/>
        </w:rPr>
        <w:t>клинические анализы крови и мочи, проводимые в интенсивной фазе лечения не реже 1 раза в месяц, а в фазе продолжения – 1 раз в 3 месяца;</w:t>
      </w:r>
    </w:p>
    <w:p w:rsidR="00A97587" w:rsidRPr="00192261" w:rsidRDefault="00A97587" w:rsidP="00F13EDC">
      <w:pPr>
        <w:widowControl w:val="0"/>
        <w:numPr>
          <w:ilvl w:val="0"/>
          <w:numId w:val="38"/>
        </w:numPr>
        <w:spacing w:after="0" w:line="240" w:lineRule="auto"/>
        <w:jc w:val="both"/>
        <w:rPr>
          <w:rFonts w:ascii="Times New Roman" w:hAnsi="Times New Roman"/>
          <w:sz w:val="24"/>
        </w:rPr>
      </w:pPr>
      <w:r w:rsidRPr="00192261">
        <w:rPr>
          <w:rFonts w:ascii="Times New Roman" w:hAnsi="Times New Roman"/>
          <w:sz w:val="24"/>
        </w:rPr>
        <w:t>определение содержания билирубина, АЛТ, АСТ в крови, проводимое в интенсивной фазе лечения не реже 1 раза в месяц, а в фазе продолжения – 1 раз в 3 месяца;</w:t>
      </w:r>
    </w:p>
    <w:p w:rsidR="00A97587" w:rsidRPr="00192261" w:rsidRDefault="00A97587" w:rsidP="00F13EDC">
      <w:pPr>
        <w:widowControl w:val="0"/>
        <w:numPr>
          <w:ilvl w:val="0"/>
          <w:numId w:val="38"/>
        </w:numPr>
        <w:spacing w:after="0" w:line="240" w:lineRule="auto"/>
        <w:jc w:val="both"/>
        <w:rPr>
          <w:rFonts w:ascii="Times New Roman" w:hAnsi="Times New Roman"/>
          <w:sz w:val="24"/>
        </w:rPr>
      </w:pPr>
      <w:r w:rsidRPr="00192261">
        <w:rPr>
          <w:rFonts w:ascii="Times New Roman" w:hAnsi="Times New Roman"/>
          <w:sz w:val="24"/>
        </w:rPr>
        <w:t>определение клиренса креатинина ежемесячно у больных с почечной недостаточностью или сахарным диабетом;</w:t>
      </w:r>
    </w:p>
    <w:p w:rsidR="00A97587" w:rsidRPr="004D6B46" w:rsidRDefault="00A97587" w:rsidP="00F13EDC">
      <w:pPr>
        <w:pStyle w:val="ListBullet"/>
        <w:numPr>
          <w:ilvl w:val="0"/>
          <w:numId w:val="38"/>
        </w:numPr>
        <w:jc w:val="both"/>
        <w:rPr>
          <w:b/>
        </w:rPr>
      </w:pPr>
      <w:r w:rsidRPr="00192261">
        <w:t>определение уровня калия сыворотки крови ежемесячно при назначении препаратов резерва</w:t>
      </w:r>
      <w:r>
        <w:t>;</w:t>
      </w:r>
    </w:p>
    <w:p w:rsidR="00A97587" w:rsidRPr="00192261" w:rsidRDefault="00A97587" w:rsidP="00F13EDC">
      <w:pPr>
        <w:widowControl w:val="0"/>
        <w:numPr>
          <w:ilvl w:val="0"/>
          <w:numId w:val="38"/>
        </w:numPr>
        <w:spacing w:after="0" w:line="240" w:lineRule="auto"/>
        <w:jc w:val="both"/>
        <w:rPr>
          <w:rFonts w:ascii="Times New Roman" w:hAnsi="Times New Roman"/>
          <w:sz w:val="24"/>
        </w:rPr>
      </w:pPr>
      <w:r w:rsidRPr="00192261">
        <w:rPr>
          <w:rFonts w:ascii="Times New Roman" w:hAnsi="Times New Roman"/>
          <w:sz w:val="24"/>
        </w:rPr>
        <w:t>уровень тиреотропного гормона каждые 6 месяцев при назначении протионамида и\или  аминосалициловой кислоты;</w:t>
      </w:r>
    </w:p>
    <w:p w:rsidR="00A97587" w:rsidRPr="00192261" w:rsidRDefault="00A97587" w:rsidP="00F13EDC">
      <w:pPr>
        <w:widowControl w:val="0"/>
        <w:numPr>
          <w:ilvl w:val="0"/>
          <w:numId w:val="38"/>
        </w:numPr>
        <w:spacing w:after="0" w:line="240" w:lineRule="auto"/>
        <w:jc w:val="both"/>
        <w:rPr>
          <w:rFonts w:ascii="Times New Roman" w:hAnsi="Times New Roman"/>
          <w:sz w:val="24"/>
        </w:rPr>
      </w:pPr>
      <w:r w:rsidRPr="00192261">
        <w:rPr>
          <w:rFonts w:ascii="Times New Roman" w:hAnsi="Times New Roman"/>
          <w:sz w:val="24"/>
        </w:rPr>
        <w:t>при химиотерапии по I</w:t>
      </w:r>
      <w:r>
        <w:rPr>
          <w:rFonts w:ascii="Times New Roman" w:hAnsi="Times New Roman"/>
          <w:sz w:val="24"/>
        </w:rPr>
        <w:t xml:space="preserve"> и</w:t>
      </w:r>
      <w:r w:rsidRPr="00192261">
        <w:rPr>
          <w:rFonts w:ascii="Times New Roman" w:hAnsi="Times New Roman"/>
          <w:sz w:val="24"/>
        </w:rPr>
        <w:t xml:space="preserve"> II режимам микроскопическое исследование (из двух образцов) и посев на жидкие/плотные среды (из одного образца) диагностического материала в интенсивной фазе лечения проводят не реже 1 раза в месяц, а на фазе продолжения – каждые 3 месяца и по завершению лечения – не менее чем из 2-х образцов; </w:t>
      </w:r>
    </w:p>
    <w:p w:rsidR="00A97587" w:rsidRPr="00192261" w:rsidRDefault="00A97587" w:rsidP="00F13EDC">
      <w:pPr>
        <w:widowControl w:val="0"/>
        <w:numPr>
          <w:ilvl w:val="0"/>
          <w:numId w:val="38"/>
        </w:numPr>
        <w:spacing w:after="0" w:line="240" w:lineRule="auto"/>
        <w:jc w:val="both"/>
        <w:rPr>
          <w:rFonts w:ascii="Times New Roman" w:hAnsi="Times New Roman"/>
          <w:sz w:val="24"/>
        </w:rPr>
      </w:pPr>
      <w:r w:rsidRPr="00192261">
        <w:rPr>
          <w:rFonts w:ascii="Times New Roman" w:hAnsi="Times New Roman"/>
          <w:sz w:val="24"/>
        </w:rPr>
        <w:t xml:space="preserve">при химиотерапии по </w:t>
      </w:r>
      <w:r>
        <w:rPr>
          <w:rFonts w:ascii="Times New Roman" w:hAnsi="Times New Roman"/>
          <w:sz w:val="24"/>
          <w:lang w:val="en-US"/>
        </w:rPr>
        <w:t>III</w:t>
      </w:r>
      <w:r w:rsidRPr="004E572C">
        <w:rPr>
          <w:rFonts w:ascii="Times New Roman" w:hAnsi="Times New Roman"/>
          <w:sz w:val="24"/>
        </w:rPr>
        <w:t xml:space="preserve"> </w:t>
      </w:r>
      <w:r w:rsidRPr="00192261">
        <w:rPr>
          <w:rFonts w:ascii="Times New Roman" w:hAnsi="Times New Roman"/>
          <w:sz w:val="24"/>
        </w:rPr>
        <w:t>режиму  исследование диагностического материала  микроскопическое исследование (из двух образцов) и посев на жидкие/плотные среды (из одного образца) диагностического материала проводят ежемесячно до получения отрицательных результатов посевов  в течение 2-х последовательных месяцев, далее  – каждые 2 месяца, и по завершению лечения - не менее, чем из 2-х образцов;</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 xml:space="preserve"> при химиотерапии по режиму  </w:t>
      </w:r>
      <w:r>
        <w:rPr>
          <w:rFonts w:ascii="Times New Roman" w:hAnsi="Times New Roman"/>
          <w:sz w:val="24"/>
        </w:rPr>
        <w:t xml:space="preserve">лечения ШЛУ ТБ </w:t>
      </w:r>
      <w:r w:rsidRPr="00192261">
        <w:rPr>
          <w:rFonts w:ascii="Times New Roman" w:hAnsi="Times New Roman"/>
          <w:sz w:val="24"/>
        </w:rPr>
        <w:t>исследование диагностического материала  микроскопическое исследование (из двух образцов) и посев на жидкие/плотные среды (из одного образца) диагностического материала проводят ежемесячно до получения отрицательных результатов посевов  в течение 4-х последовательных месяцев, далее  – каждые 2 месяца, и по завершению лечения - не менее, чем из 2-х образцов;</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определение лекарственной чувствительности МБТ в интенсивной фазе проводят ежемесячно после 2-го месяца лечения. В фазе продолжения определение лекарственной чувствительности МБТ проводят при обнаружении микобактерий туберкулеза любым методом с использованием ускоренных ТЛЧ. При химиотерапии по II, I</w:t>
      </w:r>
      <w:r>
        <w:rPr>
          <w:rFonts w:ascii="Times New Roman" w:hAnsi="Times New Roman"/>
          <w:sz w:val="24"/>
          <w:lang w:val="en-US"/>
        </w:rPr>
        <w:t>II</w:t>
      </w:r>
      <w:r w:rsidRPr="00192261">
        <w:rPr>
          <w:rFonts w:ascii="Times New Roman" w:hAnsi="Times New Roman"/>
          <w:sz w:val="24"/>
        </w:rPr>
        <w:t xml:space="preserve"> режимам</w:t>
      </w:r>
      <w:r>
        <w:rPr>
          <w:rFonts w:ascii="Times New Roman" w:hAnsi="Times New Roman"/>
          <w:sz w:val="24"/>
        </w:rPr>
        <w:t xml:space="preserve"> и режиму лечения ШЛУ ТБ</w:t>
      </w:r>
      <w:r w:rsidRPr="00192261">
        <w:rPr>
          <w:rFonts w:ascii="Times New Roman" w:hAnsi="Times New Roman"/>
          <w:sz w:val="24"/>
        </w:rPr>
        <w:t xml:space="preserve"> повторные ТЛЧ проводят только к тем противотуберкулезным препаратам, к которым прежде МБТ была чувствительна.</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 xml:space="preserve">рентгенологические исследования пораженного органа (органов), проводимые в интенсивной фазе лечения 1 раз в 2 месяца,  в фазе продолжения – каждые 2 месяца при лечении по I, II режимам и каждые 3 месяца  - при лечении по </w:t>
      </w:r>
      <w:r>
        <w:rPr>
          <w:rFonts w:ascii="Times New Roman" w:hAnsi="Times New Roman"/>
          <w:sz w:val="24"/>
          <w:lang w:val="en-US"/>
        </w:rPr>
        <w:t>III</w:t>
      </w:r>
      <w:r w:rsidRPr="004E572C">
        <w:rPr>
          <w:rFonts w:ascii="Times New Roman" w:hAnsi="Times New Roman"/>
          <w:sz w:val="24"/>
        </w:rPr>
        <w:t xml:space="preserve"> </w:t>
      </w:r>
      <w:r>
        <w:rPr>
          <w:rFonts w:ascii="Times New Roman" w:hAnsi="Times New Roman"/>
          <w:sz w:val="24"/>
        </w:rPr>
        <w:t>режиму и режиму лечения ШЛУ ТБ</w:t>
      </w:r>
      <w:r w:rsidRPr="00192261">
        <w:rPr>
          <w:rFonts w:ascii="Times New Roman" w:hAnsi="Times New Roman"/>
          <w:sz w:val="24"/>
        </w:rPr>
        <w:t>.</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осмотр ЛОР-врача ежемесячно при назначении аминогликозидов и полипептида;</w:t>
      </w:r>
    </w:p>
    <w:p w:rsidR="00A97587" w:rsidRPr="00192261" w:rsidRDefault="00A97587" w:rsidP="000B4017">
      <w:pPr>
        <w:widowControl w:val="0"/>
        <w:numPr>
          <w:ilvl w:val="0"/>
          <w:numId w:val="18"/>
        </w:numPr>
        <w:tabs>
          <w:tab w:val="left" w:pos="720"/>
        </w:tabs>
        <w:spacing w:after="0" w:line="240" w:lineRule="auto"/>
        <w:jc w:val="both"/>
        <w:rPr>
          <w:rFonts w:ascii="Times New Roman" w:hAnsi="Times New Roman"/>
          <w:sz w:val="24"/>
        </w:rPr>
      </w:pPr>
      <w:r w:rsidRPr="00192261">
        <w:rPr>
          <w:rFonts w:ascii="Times New Roman" w:hAnsi="Times New Roman"/>
          <w:sz w:val="24"/>
        </w:rPr>
        <w:t>исследование мочевой кислоты при назначении пиразинамида и других препаратов, влияющих на обмен пуринов.</w:t>
      </w:r>
    </w:p>
    <w:p w:rsidR="00A97587" w:rsidRPr="004D6B46" w:rsidRDefault="00A97587" w:rsidP="00136C1B">
      <w:pPr>
        <w:pStyle w:val="Heading2"/>
        <w:numPr>
          <w:ilvl w:val="1"/>
          <w:numId w:val="16"/>
        </w:numPr>
        <w:ind w:left="0" w:firstLine="0"/>
      </w:pPr>
      <w:bookmarkStart w:id="23" w:name="_Toc373846938"/>
      <w:bookmarkStart w:id="24" w:name="_Toc373847354"/>
      <w:bookmarkStart w:id="25" w:name="_Toc373847436"/>
      <w:bookmarkStart w:id="26" w:name="_Toc373847490"/>
      <w:bookmarkStart w:id="27" w:name="_Toc373846939"/>
      <w:bookmarkStart w:id="28" w:name="_Toc373847355"/>
      <w:bookmarkStart w:id="29" w:name="_Toc373847437"/>
      <w:bookmarkStart w:id="30" w:name="_Toc373847491"/>
      <w:bookmarkStart w:id="31" w:name="_Toc373847356"/>
      <w:bookmarkStart w:id="32" w:name="_Toc374016059"/>
      <w:bookmarkEnd w:id="23"/>
      <w:bookmarkEnd w:id="24"/>
      <w:bookmarkEnd w:id="25"/>
      <w:bookmarkEnd w:id="26"/>
      <w:bookmarkEnd w:id="27"/>
      <w:bookmarkEnd w:id="28"/>
      <w:bookmarkEnd w:id="29"/>
      <w:bookmarkEnd w:id="30"/>
      <w:r w:rsidRPr="004D6B46">
        <w:t>Методы этиологической диагностики</w:t>
      </w:r>
      <w:bookmarkEnd w:id="31"/>
      <w:bookmarkEnd w:id="32"/>
    </w:p>
    <w:p w:rsidR="00A97587" w:rsidRPr="00192261" w:rsidRDefault="00A97587" w:rsidP="000B4017">
      <w:pPr>
        <w:pStyle w:val="BodyText"/>
        <w:rPr>
          <w:lang w:val="ru-RU"/>
        </w:rPr>
      </w:pPr>
      <w:r w:rsidRPr="00192261">
        <w:rPr>
          <w:lang w:val="ru-RU"/>
        </w:rPr>
        <w:t xml:space="preserve">В условиях широкого распространения МЛУ туберкулеза приоритетными являются методы </w:t>
      </w:r>
      <w:r>
        <w:rPr>
          <w:lang w:val="ru-RU"/>
        </w:rPr>
        <w:t xml:space="preserve">этиологической </w:t>
      </w:r>
      <w:r w:rsidRPr="00192261">
        <w:rPr>
          <w:lang w:val="ru-RU"/>
        </w:rPr>
        <w:t>диагностики, обеспечивающие получение результата с максимальной достоверностью и в наикратчайшие сроки.  В условиях широкого распространения МЛУ туберкулеза приоритетными являются методы диагностики, обеспечивающие получение результата с максимальной достоверностью и в наикратчайшие сроки. Среди методов этиологической диагностики, отвечающих этим требованиям – современные методы микробиологической диагностики (на жидких средах с флуоресцентной детекцией роста) и молекулярно-генетические методы (ПЦР в реальном времени)</w:t>
      </w:r>
      <w:r>
        <w:rPr>
          <w:lang w:val="ru-RU"/>
        </w:rPr>
        <w:t xml:space="preserve"> </w:t>
      </w:r>
      <w:r w:rsidRPr="00192261">
        <w:rPr>
          <w:lang w:val="ru-RU"/>
        </w:rPr>
        <w:t xml:space="preserve">для подтверждения наличия возбудителя в диагностическом материале. </w:t>
      </w:r>
    </w:p>
    <w:p w:rsidR="00A97587" w:rsidRDefault="00A97587" w:rsidP="00321871">
      <w:pPr>
        <w:pStyle w:val="Heading4"/>
        <w:tabs>
          <w:tab w:val="num" w:pos="0"/>
        </w:tabs>
        <w:spacing w:after="0" w:line="240" w:lineRule="auto"/>
        <w:ind w:firstLine="709"/>
        <w:jc w:val="both"/>
        <w:rPr>
          <w:sz w:val="24"/>
          <w:szCs w:val="24"/>
        </w:rPr>
      </w:pPr>
      <w:r w:rsidRPr="004D5C4F">
        <w:rPr>
          <w:sz w:val="24"/>
          <w:szCs w:val="24"/>
        </w:rPr>
        <w:t xml:space="preserve">Диагностический материал. </w:t>
      </w:r>
    </w:p>
    <w:p w:rsidR="00A97587" w:rsidRPr="00192261" w:rsidRDefault="00A97587" w:rsidP="003A7320">
      <w:pPr>
        <w:pStyle w:val="BodyText"/>
        <w:rPr>
          <w:lang w:val="ru-RU"/>
        </w:rPr>
      </w:pPr>
      <w:r w:rsidRPr="00192261">
        <w:rPr>
          <w:lang w:val="ru-RU"/>
        </w:rPr>
        <w:t xml:space="preserve">При туберкулезе легких, наиболее распространенной и эпидемически опасной локализации заболевания,  доступным и часто исследуемым диагностическим материалом является мокрота. При невозможности собрать мокроту у пациента с подозрением на ТБ органов дыхания, могут исследоваться и другие виды диагностических материалов (промывные воды бронхов, аспирационный материал, бронхо-альвеолярный лаваж (БАЛ), браш-биоптат, биоптат, экссудат и др.). </w:t>
      </w:r>
    </w:p>
    <w:p w:rsidR="00A97587" w:rsidRPr="00F61C01" w:rsidRDefault="00A97587" w:rsidP="003A7320">
      <w:pPr>
        <w:pStyle w:val="Heading4"/>
        <w:tabs>
          <w:tab w:val="num" w:pos="0"/>
        </w:tabs>
        <w:spacing w:after="0" w:line="240" w:lineRule="auto"/>
        <w:ind w:firstLine="709"/>
        <w:jc w:val="both"/>
        <w:rPr>
          <w:sz w:val="24"/>
          <w:szCs w:val="24"/>
        </w:rPr>
      </w:pPr>
      <w:r w:rsidRPr="00F61C01">
        <w:rPr>
          <w:sz w:val="24"/>
          <w:szCs w:val="24"/>
        </w:rPr>
        <w:t>Кратность обследования</w:t>
      </w:r>
    </w:p>
    <w:p w:rsidR="00A97587" w:rsidRPr="00192261" w:rsidRDefault="00A97587" w:rsidP="003A7320">
      <w:pPr>
        <w:pStyle w:val="BodyText"/>
        <w:rPr>
          <w:lang w:val="ru-RU"/>
        </w:rPr>
      </w:pPr>
      <w:r w:rsidRPr="00192261">
        <w:rPr>
          <w:lang w:val="ru-RU"/>
        </w:rPr>
        <w:t xml:space="preserve">Исследование мокроты методом микроскопии и посева на жидкие и плотные среды проводится не менее чем в двух образцах, два из них также исследуются молекулярно-генетическими методами (МГМ) (если в первом образце МГМ обнаружены МБТ, исследование второго образца не проводится). В случае исследования других видов отделяемого трахеобронхиального дерева допустимо исследование одного образца. </w:t>
      </w:r>
    </w:p>
    <w:p w:rsidR="00A97587" w:rsidRPr="00192261" w:rsidRDefault="00A97587" w:rsidP="003A7320">
      <w:pPr>
        <w:pStyle w:val="BodyText"/>
        <w:rPr>
          <w:lang w:val="ru-RU"/>
        </w:rPr>
      </w:pPr>
      <w:r w:rsidRPr="00192261">
        <w:rPr>
          <w:lang w:val="ru-RU"/>
        </w:rPr>
        <w:t xml:space="preserve">Чтобы минимизировать вероятность расхождения в результатах, полученных разными методами, исследования МГМ должны проводиться из аликвоты той же пробы, которая исследуется методами посева и микроскопии. </w:t>
      </w:r>
    </w:p>
    <w:p w:rsidR="00A97587" w:rsidRPr="00192261" w:rsidRDefault="00A97587" w:rsidP="000B4017">
      <w:pPr>
        <w:pStyle w:val="BodyText"/>
        <w:rPr>
          <w:lang w:val="ru-RU"/>
        </w:rPr>
      </w:pPr>
      <w:r w:rsidRPr="00192261">
        <w:rPr>
          <w:lang w:val="ru-RU"/>
        </w:rPr>
        <w:t>Для правильной постановки диагноза и назначения адекватных схем химиотерапии в лабораториях противотуберкулезных учреждений применяется следующая диагностическая схема:</w:t>
      </w:r>
    </w:p>
    <w:p w:rsidR="00A97587" w:rsidRPr="00824FD6" w:rsidRDefault="00A97587" w:rsidP="00824FD6">
      <w:pPr>
        <w:pStyle w:val="ListNumber2"/>
        <w:numPr>
          <w:ilvl w:val="0"/>
          <w:numId w:val="33"/>
        </w:numPr>
        <w:spacing w:before="60" w:after="0" w:line="240" w:lineRule="auto"/>
        <w:jc w:val="both"/>
        <w:rPr>
          <w:rFonts w:ascii="Times New Roman" w:hAnsi="Times New Roman"/>
          <w:sz w:val="24"/>
        </w:rPr>
      </w:pPr>
      <w:r w:rsidRPr="00824FD6">
        <w:rPr>
          <w:rFonts w:ascii="Times New Roman" w:hAnsi="Times New Roman"/>
          <w:sz w:val="24"/>
        </w:rPr>
        <w:t>Выявление возбудителя (микроскопия, посев и ПЦР как минимум из двух образов мокроты, собранных до начала химиотерапии). Достаточным основанием для этиологического подтверждения диагноза «туберкулез» может быть выявление микобактерий туберкулезного комплекса или ДНК хотя бы в одном образце.</w:t>
      </w:r>
    </w:p>
    <w:p w:rsidR="00A97587" w:rsidRPr="00824FD6" w:rsidRDefault="00A97587" w:rsidP="00824FD6">
      <w:pPr>
        <w:pStyle w:val="ListNumber2"/>
        <w:numPr>
          <w:ilvl w:val="1"/>
          <w:numId w:val="33"/>
        </w:numPr>
        <w:tabs>
          <w:tab w:val="clear" w:pos="576"/>
          <w:tab w:val="num" w:pos="1080"/>
        </w:tabs>
        <w:spacing w:before="60" w:after="0" w:line="240" w:lineRule="auto"/>
        <w:ind w:left="1080"/>
        <w:jc w:val="both"/>
        <w:rPr>
          <w:rFonts w:ascii="Times New Roman" w:hAnsi="Times New Roman"/>
          <w:sz w:val="24"/>
        </w:rPr>
      </w:pPr>
      <w:r w:rsidRPr="00824FD6">
        <w:rPr>
          <w:rFonts w:ascii="Times New Roman" w:hAnsi="Times New Roman"/>
          <w:sz w:val="24"/>
        </w:rPr>
        <w:t xml:space="preserve">Классические микробиологические методы. </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Методы микроскопии для выявления КУБ: с окраской по Циль-Нильсену или люминесцентная микроскопия (в лабораториях при количестве исследований  30 и более в день).</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Культивирование и  идентификация M. tuberculosis с использованием как минимум двух  разных по составу питательных сред (жидкая среда Мидлбрука и плотная – обязательно).  Применение посева только на плотные среды (Левенштейна-Йенсена и Финна-II допустимо только на переходный период.</w:t>
      </w:r>
    </w:p>
    <w:p w:rsidR="00A97587" w:rsidRPr="00824FD6" w:rsidRDefault="00A97587" w:rsidP="00824FD6">
      <w:pPr>
        <w:pStyle w:val="ListNumber2"/>
        <w:numPr>
          <w:ilvl w:val="1"/>
          <w:numId w:val="33"/>
        </w:numPr>
        <w:tabs>
          <w:tab w:val="clear" w:pos="576"/>
          <w:tab w:val="num" w:pos="1080"/>
        </w:tabs>
        <w:spacing w:before="60" w:after="0" w:line="240" w:lineRule="auto"/>
        <w:ind w:left="1080"/>
        <w:jc w:val="both"/>
        <w:rPr>
          <w:rFonts w:ascii="Times New Roman" w:hAnsi="Times New Roman"/>
          <w:sz w:val="24"/>
        </w:rPr>
      </w:pPr>
      <w:r w:rsidRPr="00824FD6">
        <w:rPr>
          <w:rFonts w:ascii="Times New Roman" w:hAnsi="Times New Roman"/>
          <w:sz w:val="24"/>
        </w:rPr>
        <w:t xml:space="preserve">Молекулярно-генетические методы (картриджная технологии,  ПЦР в режиме реального времени) </w:t>
      </w:r>
    </w:p>
    <w:p w:rsidR="00A97587" w:rsidRPr="00824FD6" w:rsidRDefault="00A97587" w:rsidP="00824FD6">
      <w:pPr>
        <w:pStyle w:val="ListNumber2"/>
        <w:numPr>
          <w:ilvl w:val="0"/>
          <w:numId w:val="33"/>
        </w:numPr>
        <w:spacing w:before="60" w:after="0" w:line="240" w:lineRule="auto"/>
        <w:jc w:val="both"/>
        <w:rPr>
          <w:rFonts w:ascii="Times New Roman" w:hAnsi="Times New Roman"/>
          <w:sz w:val="24"/>
        </w:rPr>
      </w:pPr>
      <w:r w:rsidRPr="00824FD6">
        <w:rPr>
          <w:rFonts w:ascii="Times New Roman" w:hAnsi="Times New Roman"/>
          <w:sz w:val="24"/>
        </w:rPr>
        <w:t>Дифференциация МБТ от НТМБ – иммунохроматографическим или молекулярно-генетическим или другими молекулярно-биологическими методами.</w:t>
      </w:r>
    </w:p>
    <w:p w:rsidR="00A97587" w:rsidRPr="00824FD6" w:rsidRDefault="00A97587" w:rsidP="00824FD6">
      <w:pPr>
        <w:pStyle w:val="ListNumber2"/>
        <w:numPr>
          <w:ilvl w:val="0"/>
          <w:numId w:val="33"/>
        </w:numPr>
        <w:spacing w:before="60" w:after="0" w:line="240" w:lineRule="auto"/>
        <w:jc w:val="both"/>
        <w:rPr>
          <w:rFonts w:ascii="Times New Roman" w:hAnsi="Times New Roman"/>
          <w:sz w:val="24"/>
        </w:rPr>
      </w:pPr>
      <w:r w:rsidRPr="00824FD6">
        <w:rPr>
          <w:rFonts w:ascii="Times New Roman" w:hAnsi="Times New Roman"/>
          <w:sz w:val="24"/>
        </w:rPr>
        <w:t>Определение лекарственной чувствительности (ЛЧ) возбудителя. Определение лекарственной устойчивости к препаратам резервного ряда проводятся после выявления МЛУ возбудителя или полирезистентности. При двукратном подтверждении устойчивости возбудителя к ПТП любыми методами, в дальнейшем исследование к этим препаратам может не проводиться.</w:t>
      </w:r>
    </w:p>
    <w:p w:rsidR="00A97587" w:rsidRPr="00824FD6" w:rsidRDefault="00A97587" w:rsidP="00824FD6">
      <w:pPr>
        <w:pStyle w:val="ListNumber2"/>
        <w:numPr>
          <w:ilvl w:val="1"/>
          <w:numId w:val="33"/>
        </w:numPr>
        <w:tabs>
          <w:tab w:val="clear" w:pos="576"/>
          <w:tab w:val="num" w:pos="1080"/>
        </w:tabs>
        <w:spacing w:before="60" w:after="0" w:line="240" w:lineRule="auto"/>
        <w:ind w:left="1080"/>
        <w:jc w:val="both"/>
        <w:rPr>
          <w:rFonts w:ascii="Times New Roman" w:hAnsi="Times New Roman"/>
          <w:sz w:val="24"/>
        </w:rPr>
      </w:pPr>
      <w:r w:rsidRPr="00824FD6">
        <w:rPr>
          <w:rFonts w:ascii="Times New Roman" w:hAnsi="Times New Roman"/>
          <w:sz w:val="24"/>
        </w:rPr>
        <w:t>Микробиологические (фенотипические) методы - культивирование МБТ в присутствии противотуберкулезных препаратов (обязательно) – для определения спектра лекарственной чувствительности.</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 xml:space="preserve">На жидких средах - ВАСТЕС MGIT 960 методом пропорций </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На плотных средах методом абсолютных концентраций с применением нитратредуктазного теста</w:t>
      </w:r>
    </w:p>
    <w:p w:rsidR="00A97587" w:rsidRPr="00824FD6" w:rsidRDefault="00A97587" w:rsidP="00824FD6">
      <w:pPr>
        <w:pStyle w:val="ListNumber2"/>
        <w:numPr>
          <w:ilvl w:val="1"/>
          <w:numId w:val="33"/>
        </w:numPr>
        <w:tabs>
          <w:tab w:val="clear" w:pos="576"/>
          <w:tab w:val="num" w:pos="1080"/>
        </w:tabs>
        <w:spacing w:before="60" w:after="0" w:line="240" w:lineRule="auto"/>
        <w:ind w:left="1080"/>
        <w:jc w:val="both"/>
        <w:rPr>
          <w:rFonts w:ascii="Times New Roman" w:hAnsi="Times New Roman"/>
          <w:sz w:val="24"/>
        </w:rPr>
      </w:pPr>
      <w:r w:rsidRPr="00824FD6">
        <w:rPr>
          <w:rFonts w:ascii="Times New Roman" w:hAnsi="Times New Roman"/>
          <w:sz w:val="24"/>
        </w:rPr>
        <w:t>Молекулярно-генетические методы – выявление специфических мутаций, связанных с резистентностью к определенным препаратам.</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Определение лекарственной устойчивости МБТ к препаратам основного ряда (биочиповая, стриповая, картриджная технологии,  ПЦР в режиме реального времени).</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Определение лекарственной чувствительности МБТ к препаратам второго ряда (биочиповая, стриповая технологии).</w:t>
      </w:r>
    </w:p>
    <w:p w:rsidR="00A97587" w:rsidRPr="00824FD6" w:rsidRDefault="00A97587" w:rsidP="00824FD6">
      <w:pPr>
        <w:pStyle w:val="ListNumber2"/>
        <w:numPr>
          <w:ilvl w:val="2"/>
          <w:numId w:val="33"/>
        </w:numPr>
        <w:tabs>
          <w:tab w:val="clear" w:pos="720"/>
          <w:tab w:val="num" w:pos="1440"/>
        </w:tabs>
        <w:spacing w:before="60" w:after="0" w:line="240" w:lineRule="auto"/>
        <w:ind w:left="1440"/>
        <w:jc w:val="both"/>
        <w:rPr>
          <w:rFonts w:ascii="Times New Roman" w:hAnsi="Times New Roman"/>
          <w:sz w:val="24"/>
        </w:rPr>
      </w:pPr>
      <w:r w:rsidRPr="00824FD6">
        <w:rPr>
          <w:rFonts w:ascii="Times New Roman" w:hAnsi="Times New Roman"/>
          <w:sz w:val="24"/>
        </w:rPr>
        <w:t xml:space="preserve">Определение лекарственной чувствительности НТМБ. </w:t>
      </w:r>
    </w:p>
    <w:p w:rsidR="00A97587" w:rsidRPr="003A7320" w:rsidRDefault="00A97587" w:rsidP="008C750F">
      <w:pPr>
        <w:pStyle w:val="BodyText"/>
        <w:spacing w:before="240"/>
        <w:rPr>
          <w:rFonts w:cs="Times New Roman"/>
          <w:color w:val="auto"/>
          <w:lang w:val="ru-RU"/>
        </w:rPr>
      </w:pPr>
      <w:r w:rsidRPr="003A7320">
        <w:rPr>
          <w:rFonts w:cs="Times New Roman"/>
          <w:color w:val="auto"/>
          <w:lang w:val="ru-RU"/>
        </w:rPr>
        <w:t>Во время лечения туберкулеза больным проводится:</w:t>
      </w:r>
    </w:p>
    <w:p w:rsidR="00A97587" w:rsidRPr="003A7320" w:rsidRDefault="00A97587" w:rsidP="003A7320">
      <w:pPr>
        <w:pStyle w:val="ListBullet"/>
        <w:numPr>
          <w:ilvl w:val="0"/>
          <w:numId w:val="17"/>
        </w:numPr>
        <w:ind w:left="0" w:firstLine="709"/>
        <w:jc w:val="both"/>
      </w:pPr>
      <w:r w:rsidRPr="003A7320">
        <w:t xml:space="preserve">при химиотерапии по </w:t>
      </w:r>
      <w:r w:rsidRPr="003A7320">
        <w:rPr>
          <w:lang w:val="en-US"/>
        </w:rPr>
        <w:t>I</w:t>
      </w:r>
      <w:r w:rsidRPr="003A7320">
        <w:t xml:space="preserve"> и </w:t>
      </w:r>
      <w:r w:rsidRPr="003A7320">
        <w:rPr>
          <w:lang w:val="en-US"/>
        </w:rPr>
        <w:t>II</w:t>
      </w:r>
      <w:r w:rsidRPr="003A7320">
        <w:t xml:space="preserve">  стандартным режимам микроскопическое исследование (из двух образцов) и посев на жидкие/плотные среды (из одного образца) диагностического материала в интенсивной фазе лечения проводят не реже 1 раза в месяц, а на фазе продолжения – каждые 3 месяца и по завершению лечения – не менее чем из 2-х образцов; </w:t>
      </w:r>
    </w:p>
    <w:p w:rsidR="00A97587" w:rsidRPr="003A7320" w:rsidRDefault="00A97587" w:rsidP="003A7320">
      <w:pPr>
        <w:pStyle w:val="ListBullet"/>
        <w:numPr>
          <w:ilvl w:val="0"/>
          <w:numId w:val="17"/>
        </w:numPr>
        <w:ind w:left="0" w:firstLine="709"/>
        <w:jc w:val="both"/>
      </w:pPr>
      <w:r w:rsidRPr="003A7320">
        <w:t xml:space="preserve">при химиотерапии по </w:t>
      </w:r>
      <w:r w:rsidRPr="003A7320">
        <w:rPr>
          <w:lang w:val="en-US"/>
        </w:rPr>
        <w:t>III</w:t>
      </w:r>
      <w:r w:rsidRPr="003A7320">
        <w:t xml:space="preserve"> режиму  исследование диагностического материала  микроскопическое исследование (из двух образцов) и посев на жидкие/плотные среды (из одного образца) диагностического материала проводят ежемесячно до получения отрицательных результатов посевов  в течение 2-х последовательных месяцев, далее  – каждые 2 месяца, и по завершению лечения - не менее, чем из 2-х образцов;</w:t>
      </w:r>
    </w:p>
    <w:p w:rsidR="00A97587" w:rsidRPr="003A7320" w:rsidRDefault="00A97587" w:rsidP="003A7320">
      <w:pPr>
        <w:pStyle w:val="ListBullet"/>
        <w:numPr>
          <w:ilvl w:val="0"/>
          <w:numId w:val="17"/>
        </w:numPr>
        <w:ind w:left="0" w:firstLine="709"/>
        <w:jc w:val="both"/>
      </w:pPr>
      <w:r w:rsidRPr="003A7320">
        <w:t xml:space="preserve"> </w:t>
      </w:r>
      <w:r w:rsidRPr="003A7320">
        <w:rPr>
          <w:rFonts w:eastAsia="Times New Roman"/>
          <w:szCs w:val="24"/>
        </w:rPr>
        <w:t xml:space="preserve">при химиотерапии ШЛУ ТБ </w:t>
      </w:r>
      <w:r w:rsidRPr="003A7320">
        <w:t>исследование диагностического материала  микроскопическое исследование (из двух образцов) и посев на жидкие/плотные среды (из одного образца) диагностического материала проводят ежемесячно до получения отрицательных результатов посевов  в течение 4-х последовательных месяцев, далее  – каждые 2 месяца, и по завершению лечения - не менее, чем из 2-х образцов;</w:t>
      </w:r>
    </w:p>
    <w:p w:rsidR="00A97587" w:rsidRPr="003A7320" w:rsidRDefault="00A97587" w:rsidP="003A7320">
      <w:pPr>
        <w:pStyle w:val="ListBullet"/>
        <w:numPr>
          <w:ilvl w:val="0"/>
          <w:numId w:val="17"/>
        </w:numPr>
        <w:ind w:left="0" w:firstLine="709"/>
        <w:jc w:val="both"/>
      </w:pPr>
      <w:r w:rsidRPr="003A7320">
        <w:t xml:space="preserve">определение лекарственной чувствительности МБТ в интенсивной фазе проводят ежемесячно после 2-го месяца лечения. В фазе продолжения определение лекарственной чувствительности МБТ проводят при обнаружении микобактерий туберкулеза любым методом с использованием ускоренных ТЛЧ. При химиотерапии по </w:t>
      </w:r>
      <w:r w:rsidRPr="003A7320">
        <w:rPr>
          <w:lang w:val="en-US"/>
        </w:rPr>
        <w:t>II</w:t>
      </w:r>
      <w:r w:rsidRPr="003A7320">
        <w:t xml:space="preserve">, </w:t>
      </w:r>
      <w:r w:rsidRPr="003A7320">
        <w:rPr>
          <w:rFonts w:eastAsia="Times New Roman"/>
          <w:szCs w:val="24"/>
          <w:lang w:val="en-US"/>
        </w:rPr>
        <w:t>III</w:t>
      </w:r>
      <w:r w:rsidRPr="003A7320">
        <w:rPr>
          <w:rFonts w:eastAsia="Times New Roman"/>
          <w:szCs w:val="24"/>
        </w:rPr>
        <w:t xml:space="preserve"> режимам и ШЛУ ТБ </w:t>
      </w:r>
      <w:r w:rsidRPr="003A7320">
        <w:t>повторные ТЛЧ проводят только к тем противотуберкулезным препаратам, к которым прежде МБТ была чувствительна.</w:t>
      </w:r>
    </w:p>
    <w:p w:rsidR="00A97587" w:rsidRPr="008C750F" w:rsidRDefault="00A97587" w:rsidP="008C750F">
      <w:pPr>
        <w:pStyle w:val="BodyText"/>
        <w:rPr>
          <w:lang w:val="ru-RU"/>
        </w:rPr>
      </w:pPr>
      <w:r w:rsidRPr="008C750F">
        <w:rPr>
          <w:lang w:val="ru-RU"/>
        </w:rPr>
        <w:t xml:space="preserve">Результаты лабораторных исследований могут применяться для принятия клинических решений или учитываться при мониторинге противотуберкулезных мероприятий только при наличии в лаборатории системы управления качеством, гарантирующей стабильную работу и достоверность исследований. </w:t>
      </w:r>
    </w:p>
    <w:p w:rsidR="00A97587" w:rsidRPr="008C750F" w:rsidRDefault="00A97587" w:rsidP="008C750F">
      <w:pPr>
        <w:pStyle w:val="BodyText"/>
        <w:rPr>
          <w:lang w:val="ru-RU"/>
        </w:rPr>
      </w:pPr>
      <w:r w:rsidRPr="008C750F">
        <w:rPr>
          <w:lang w:val="ru-RU"/>
        </w:rPr>
        <w:t>Если в месте первичного обращения/выявления пациента как подозреваемого на туберкулез или в месте диагностики и лечения больного туберкулезом невозможно организовать его  обследование в соответствии вышеприведенными требованиями и алгоритмами,  сбор диагностического материала должен проводиться в медучреждении, выявившем пациента с подозрением на ТБ (проводящем лечение больного туберкулезом), с последующей доставкой материала с нарочным или курьерской почтой в лабораторию, которая может провести такие исследования (вспомогательную/субподрядную лабораторию)</w:t>
      </w:r>
      <w:r>
        <w:rPr>
          <w:lang w:val="ru-RU"/>
        </w:rPr>
        <w:t>.</w:t>
      </w:r>
      <w:r w:rsidRPr="008C750F">
        <w:rPr>
          <w:lang w:val="ru-RU"/>
        </w:rPr>
        <w:t xml:space="preserve"> </w:t>
      </w:r>
    </w:p>
    <w:p w:rsidR="00A97587" w:rsidRPr="003A7320" w:rsidRDefault="00A97587" w:rsidP="008C750F">
      <w:pPr>
        <w:pStyle w:val="ListBullet"/>
        <w:numPr>
          <w:ilvl w:val="0"/>
          <w:numId w:val="17"/>
        </w:numPr>
      </w:pPr>
      <w:r w:rsidRPr="003A7320">
        <w:t xml:space="preserve">Во вспомогательную/субподрядную лабораторию может быть направлен как первичный, так и вторичный (обработанный диагностический материал или его аликвота, выделенная ДНК,  выделенная культура) диагностический материал. </w:t>
      </w:r>
    </w:p>
    <w:p w:rsidR="00A97587" w:rsidRPr="003A7320" w:rsidRDefault="00A97587" w:rsidP="008C750F">
      <w:pPr>
        <w:pStyle w:val="ListBullet"/>
        <w:numPr>
          <w:ilvl w:val="0"/>
          <w:numId w:val="17"/>
        </w:numPr>
      </w:pPr>
      <w:r w:rsidRPr="003A7320">
        <w:t xml:space="preserve">Пациент также может быть направлен в специализированное медицинское учреждение противотуберкулезной службы для дообследования. </w:t>
      </w:r>
    </w:p>
    <w:p w:rsidR="00A97587" w:rsidRPr="004D6B46" w:rsidRDefault="00A97587" w:rsidP="00136C1B">
      <w:pPr>
        <w:pStyle w:val="Heading2"/>
        <w:numPr>
          <w:ilvl w:val="1"/>
          <w:numId w:val="16"/>
        </w:numPr>
        <w:ind w:left="0" w:firstLine="0"/>
      </w:pPr>
      <w:bookmarkStart w:id="33" w:name="_Toc373847357"/>
      <w:bookmarkStart w:id="34" w:name="_Toc374016060"/>
      <w:r w:rsidRPr="004D6B46">
        <w:t>Методы лучевой диагностики</w:t>
      </w:r>
      <w:bookmarkEnd w:id="33"/>
      <w:bookmarkEnd w:id="34"/>
    </w:p>
    <w:p w:rsidR="00A97587" w:rsidRPr="00192261" w:rsidRDefault="00A97587" w:rsidP="000B4017">
      <w:pPr>
        <w:pStyle w:val="BodyText"/>
        <w:rPr>
          <w:lang w:val="ru-RU"/>
        </w:rPr>
      </w:pPr>
      <w:r w:rsidRPr="00192261">
        <w:rPr>
          <w:lang w:val="ru-RU"/>
        </w:rPr>
        <w:t>Общие задачи лучевой диагностики туберкулеза легких на различных этапах обследования и лечения пациента.</w:t>
      </w:r>
    </w:p>
    <w:p w:rsidR="00A97587" w:rsidRPr="004D6B46" w:rsidRDefault="00A97587" w:rsidP="000B4017">
      <w:pPr>
        <w:pStyle w:val="ListBullet"/>
        <w:numPr>
          <w:ilvl w:val="0"/>
          <w:numId w:val="17"/>
        </w:numPr>
      </w:pPr>
      <w:r w:rsidRPr="004D6B46">
        <w:t>Диагностика и дифференциальная диагностика  туберкулеза</w:t>
      </w:r>
    </w:p>
    <w:p w:rsidR="00A97587" w:rsidRPr="004D6B46" w:rsidRDefault="00A97587" w:rsidP="000B4017">
      <w:pPr>
        <w:pStyle w:val="ListBullet"/>
        <w:numPr>
          <w:ilvl w:val="0"/>
          <w:numId w:val="17"/>
        </w:numPr>
      </w:pPr>
      <w:r w:rsidRPr="004D6B46">
        <w:t>Определение клинической формы туберкулеза, фазы и локализации процесса</w:t>
      </w:r>
    </w:p>
    <w:p w:rsidR="00A97587" w:rsidRPr="004D6B46" w:rsidRDefault="00A97587" w:rsidP="000B4017">
      <w:pPr>
        <w:pStyle w:val="ListBullet"/>
        <w:numPr>
          <w:ilvl w:val="0"/>
          <w:numId w:val="17"/>
        </w:numPr>
      </w:pPr>
      <w:r w:rsidRPr="004D6B46">
        <w:t xml:space="preserve">Оценка активности и распространенности процесса </w:t>
      </w:r>
    </w:p>
    <w:p w:rsidR="00A97587" w:rsidRPr="004D6B46" w:rsidRDefault="00A97587" w:rsidP="000B4017">
      <w:pPr>
        <w:pStyle w:val="ListBullet"/>
        <w:numPr>
          <w:ilvl w:val="0"/>
          <w:numId w:val="17"/>
        </w:numPr>
      </w:pPr>
      <w:r w:rsidRPr="004D6B46">
        <w:t>Мониторинг и контроль результатов лечения</w:t>
      </w:r>
    </w:p>
    <w:p w:rsidR="00A97587" w:rsidRPr="004D6B46" w:rsidRDefault="00A97587" w:rsidP="006D43E1">
      <w:pPr>
        <w:widowControl w:val="0"/>
        <w:spacing w:before="240" w:after="0" w:line="300" w:lineRule="exact"/>
        <w:ind w:firstLine="420"/>
        <w:jc w:val="both"/>
        <w:rPr>
          <w:i/>
          <w:sz w:val="24"/>
          <w:szCs w:val="24"/>
          <w:u w:val="single"/>
        </w:rPr>
      </w:pPr>
      <w:r w:rsidRPr="004D6B46">
        <w:rPr>
          <w:i/>
          <w:sz w:val="24"/>
          <w:szCs w:val="24"/>
          <w:u w:val="single"/>
        </w:rPr>
        <w:t>Алгоритм лучевого обследования пациентов во время лечения:</w:t>
      </w:r>
    </w:p>
    <w:p w:rsidR="00A97587" w:rsidRPr="004D6B46" w:rsidRDefault="00A97587" w:rsidP="000B4017">
      <w:pPr>
        <w:pStyle w:val="ListBullet"/>
        <w:numPr>
          <w:ilvl w:val="0"/>
          <w:numId w:val="17"/>
        </w:numPr>
      </w:pPr>
      <w:r w:rsidRPr="004D6B46">
        <w:t xml:space="preserve">Рентгенография грудной клетки цифровая или аналоговая 1 раз в 2 месяца во время интенсивной фазы лечения, 1 раз в 2 месяца в фазе продолжения лечения по </w:t>
      </w:r>
      <w:r w:rsidRPr="004D6B46">
        <w:rPr>
          <w:rFonts w:eastAsia="Times New Roman"/>
          <w:lang w:val="en-US"/>
        </w:rPr>
        <w:t>I</w:t>
      </w:r>
      <w:r w:rsidRPr="004D6B46">
        <w:rPr>
          <w:rFonts w:eastAsia="Times New Roman"/>
        </w:rPr>
        <w:t xml:space="preserve"> и  </w:t>
      </w:r>
      <w:r w:rsidRPr="004D6B46">
        <w:rPr>
          <w:rFonts w:eastAsia="Times New Roman"/>
          <w:lang w:val="en-US"/>
        </w:rPr>
        <w:t>II</w:t>
      </w:r>
      <w:r w:rsidRPr="004D6B46">
        <w:rPr>
          <w:rFonts w:eastAsia="Times New Roman"/>
        </w:rPr>
        <w:t xml:space="preserve"> </w:t>
      </w:r>
      <w:r w:rsidRPr="004D6B46">
        <w:t xml:space="preserve"> режимам, 1 раз в 3 месяца в фазе продолжения лечения по </w:t>
      </w:r>
      <w:r w:rsidRPr="004D6B46">
        <w:rPr>
          <w:rFonts w:eastAsia="Times New Roman"/>
          <w:lang w:val="en-US"/>
        </w:rPr>
        <w:t>IV</w:t>
      </w:r>
      <w:r w:rsidRPr="004D6B46">
        <w:rPr>
          <w:rFonts w:eastAsia="Times New Roman"/>
        </w:rPr>
        <w:t xml:space="preserve"> и </w:t>
      </w:r>
      <w:r w:rsidRPr="004D6B46">
        <w:rPr>
          <w:rFonts w:eastAsia="Times New Roman"/>
          <w:lang w:val="en-US"/>
        </w:rPr>
        <w:t>V</w:t>
      </w:r>
      <w:r w:rsidRPr="004D6B46">
        <w:rPr>
          <w:rFonts w:eastAsia="Times New Roman"/>
        </w:rPr>
        <w:t xml:space="preserve"> режимам</w:t>
      </w:r>
      <w:r w:rsidRPr="004D6B46">
        <w:t>, внеочередная для контроля за эффективностью коллапсотерпии, а также в предоперационном периоде, в послеоперационном периоде на первые сутки и по необходимости.</w:t>
      </w:r>
    </w:p>
    <w:p w:rsidR="00A97587" w:rsidRPr="004D6B46" w:rsidRDefault="00A97587" w:rsidP="000B4017">
      <w:pPr>
        <w:pStyle w:val="ListBullet"/>
        <w:numPr>
          <w:ilvl w:val="0"/>
          <w:numId w:val="17"/>
        </w:numPr>
      </w:pPr>
      <w:r w:rsidRPr="004D6B46">
        <w:t>Спиральная компьютерная томография для диагностики и уточнения характера изменений по показаниям не более 1 раза в 3 месяца, внеочередная при возникновении осложнений туберкулеза,  а также не менее чем за 2 недели до хирургического лечения</w:t>
      </w:r>
    </w:p>
    <w:p w:rsidR="00A97587" w:rsidRPr="004D6B46" w:rsidRDefault="00A97587" w:rsidP="000B4017">
      <w:pPr>
        <w:pStyle w:val="ListBullet"/>
        <w:numPr>
          <w:ilvl w:val="0"/>
          <w:numId w:val="17"/>
        </w:numPr>
      </w:pPr>
      <w:r w:rsidRPr="004D6B46">
        <w:t>Обзорная цифровая флюорография или рентгеноскопия при коллапсотерапии 1 раз в 2 недели</w:t>
      </w:r>
    </w:p>
    <w:p w:rsidR="00A97587" w:rsidRPr="004D6B46" w:rsidRDefault="00A97587" w:rsidP="00136C1B">
      <w:pPr>
        <w:pStyle w:val="Heading2"/>
        <w:numPr>
          <w:ilvl w:val="1"/>
          <w:numId w:val="16"/>
        </w:numPr>
        <w:ind w:left="0" w:firstLine="0"/>
      </w:pPr>
      <w:bookmarkStart w:id="35" w:name="_Toc373846942"/>
      <w:bookmarkStart w:id="36" w:name="_Toc373847358"/>
      <w:bookmarkStart w:id="37" w:name="_Toc373847440"/>
      <w:bookmarkStart w:id="38" w:name="_Toc373847494"/>
      <w:bookmarkStart w:id="39" w:name="_Toc373846943"/>
      <w:bookmarkStart w:id="40" w:name="_Toc373847359"/>
      <w:bookmarkStart w:id="41" w:name="_Toc373847441"/>
      <w:bookmarkStart w:id="42" w:name="_Toc373847495"/>
      <w:bookmarkStart w:id="43" w:name="_Toc373846944"/>
      <w:bookmarkStart w:id="44" w:name="_Toc373847360"/>
      <w:bookmarkStart w:id="45" w:name="_Toc373847442"/>
      <w:bookmarkStart w:id="46" w:name="_Toc373847496"/>
      <w:bookmarkStart w:id="47" w:name="_Toc373847361"/>
      <w:bookmarkStart w:id="48" w:name="_Toc374016061"/>
      <w:bookmarkEnd w:id="35"/>
      <w:bookmarkEnd w:id="36"/>
      <w:bookmarkEnd w:id="37"/>
      <w:bookmarkEnd w:id="38"/>
      <w:bookmarkEnd w:id="39"/>
      <w:bookmarkEnd w:id="40"/>
      <w:bookmarkEnd w:id="41"/>
      <w:bookmarkEnd w:id="42"/>
      <w:bookmarkEnd w:id="43"/>
      <w:bookmarkEnd w:id="44"/>
      <w:bookmarkEnd w:id="45"/>
      <w:bookmarkEnd w:id="46"/>
      <w:r w:rsidRPr="004D6B46">
        <w:t>Дифференциальная диагностика туберкулеза органов дыхания</w:t>
      </w:r>
      <w:bookmarkEnd w:id="47"/>
      <w:bookmarkEnd w:id="48"/>
    </w:p>
    <w:p w:rsidR="00A97587" w:rsidRPr="00192261" w:rsidRDefault="00A97587" w:rsidP="000B4017">
      <w:pPr>
        <w:pStyle w:val="BodyText"/>
        <w:rPr>
          <w:lang w:val="ru-RU"/>
        </w:rPr>
      </w:pPr>
      <w:r w:rsidRPr="00192261">
        <w:rPr>
          <w:lang w:val="ru-RU"/>
        </w:rPr>
        <w:t>Необходимость проведения дифференциальной диагностики при туберкулезе органов дыхания обусловлена неспецифичностью симптомов, широким диапазоном степени их выраженности, разнообразием картины изменений в легких, выявляемой методами лучевой диагностики,  и  схожестью их с таковыми при многих  альтернативных заболеваниях.</w:t>
      </w:r>
    </w:p>
    <w:p w:rsidR="00A97587" w:rsidRPr="00192261" w:rsidRDefault="00A97587" w:rsidP="000B4017">
      <w:pPr>
        <w:pStyle w:val="BodyText"/>
        <w:rPr>
          <w:lang w:val="ru-RU"/>
        </w:rPr>
      </w:pPr>
      <w:r w:rsidRPr="00192261">
        <w:rPr>
          <w:lang w:val="ru-RU"/>
        </w:rPr>
        <w:t>Наиболее специфичные для туберкулеза диагностические признаки — выявление микобактерий туберкулеза и обнаружение казеоза, эпителиоидных, гигантских клеток Пирогова-Лангханса и других элементов туберкулезного бугорка при гистологическом исследовании биоптатов.</w:t>
      </w:r>
    </w:p>
    <w:p w:rsidR="00A97587" w:rsidRPr="00192261" w:rsidRDefault="00A97587" w:rsidP="000B4017">
      <w:pPr>
        <w:pStyle w:val="BodyText"/>
        <w:rPr>
          <w:rFonts w:eastAsia="Times New Roman"/>
          <w:b/>
          <w:bCs/>
          <w:lang w:val="ru-RU"/>
        </w:rPr>
      </w:pPr>
      <w:r w:rsidRPr="00192261">
        <w:rPr>
          <w:lang w:val="ru-RU"/>
        </w:rPr>
        <w:t>Основания для проведения дифференциальной диагностики возникают в случаях, когда:</w:t>
      </w:r>
      <w:r w:rsidRPr="00192261">
        <w:rPr>
          <w:rFonts w:eastAsia="Times New Roman"/>
          <w:b/>
          <w:bCs/>
          <w:lang w:val="ru-RU"/>
        </w:rPr>
        <w:t xml:space="preserve"> </w:t>
      </w:r>
    </w:p>
    <w:p w:rsidR="00A97587" w:rsidRPr="004D6B46" w:rsidRDefault="00A97587" w:rsidP="000B4017">
      <w:pPr>
        <w:pStyle w:val="ListBullet"/>
        <w:numPr>
          <w:ilvl w:val="0"/>
          <w:numId w:val="17"/>
        </w:numPr>
      </w:pPr>
      <w:r w:rsidRPr="004D6B46">
        <w:t xml:space="preserve"> имеют место атипичные проявления заболевания;</w:t>
      </w:r>
    </w:p>
    <w:p w:rsidR="00A97587" w:rsidRPr="004D6B46" w:rsidRDefault="00A97587" w:rsidP="000B4017">
      <w:pPr>
        <w:pStyle w:val="ListBullet"/>
        <w:numPr>
          <w:ilvl w:val="0"/>
          <w:numId w:val="17"/>
        </w:numPr>
      </w:pPr>
      <w:r w:rsidRPr="004D6B46">
        <w:t xml:space="preserve"> полученные результаты обследования характерны для нескольких альтернативных </w:t>
      </w:r>
    </w:p>
    <w:p w:rsidR="00A97587" w:rsidRPr="004D6B46" w:rsidRDefault="00A97587" w:rsidP="000B4017">
      <w:pPr>
        <w:pStyle w:val="ListBullet"/>
        <w:numPr>
          <w:ilvl w:val="0"/>
          <w:numId w:val="17"/>
        </w:numPr>
      </w:pPr>
      <w:r w:rsidRPr="004D6B46">
        <w:t xml:space="preserve"> заболеваний;</w:t>
      </w:r>
    </w:p>
    <w:p w:rsidR="00A97587" w:rsidRPr="004D6B46" w:rsidRDefault="00A97587" w:rsidP="000B4017">
      <w:pPr>
        <w:pStyle w:val="ListBullet"/>
        <w:numPr>
          <w:ilvl w:val="0"/>
          <w:numId w:val="17"/>
        </w:numPr>
      </w:pPr>
      <w:r w:rsidRPr="004D6B46">
        <w:t xml:space="preserve"> имеется сочетание нескольких заболеваний бронхолегочной системы туберкулезной и  </w:t>
      </w:r>
    </w:p>
    <w:p w:rsidR="00A97587" w:rsidRPr="004D6B46" w:rsidRDefault="00A97587" w:rsidP="000B4017">
      <w:pPr>
        <w:pStyle w:val="ListBullet"/>
        <w:numPr>
          <w:ilvl w:val="0"/>
          <w:numId w:val="17"/>
        </w:numPr>
      </w:pPr>
      <w:r w:rsidRPr="004D6B46">
        <w:t xml:space="preserve"> нетуберкулезной природы; </w:t>
      </w:r>
    </w:p>
    <w:p w:rsidR="00A97587" w:rsidRPr="004D6B46" w:rsidRDefault="00A97587" w:rsidP="000B4017">
      <w:pPr>
        <w:pStyle w:val="ListBullet"/>
        <w:numPr>
          <w:ilvl w:val="0"/>
          <w:numId w:val="17"/>
        </w:numPr>
      </w:pPr>
      <w:r w:rsidRPr="004D6B46">
        <w:t xml:space="preserve"> первоначально допущена неправильная трактовка результатов обследования;</w:t>
      </w:r>
    </w:p>
    <w:p w:rsidR="00A97587" w:rsidRPr="004D6B46" w:rsidRDefault="00A97587" w:rsidP="000B4017">
      <w:pPr>
        <w:pStyle w:val="ListBullet"/>
        <w:numPr>
          <w:ilvl w:val="0"/>
          <w:numId w:val="17"/>
        </w:numPr>
      </w:pPr>
      <w:r w:rsidRPr="004D6B46">
        <w:t xml:space="preserve"> отсутствует адекватный ответ на лечение. </w:t>
      </w:r>
    </w:p>
    <w:p w:rsidR="00A97587" w:rsidRPr="00192261" w:rsidRDefault="00A97587" w:rsidP="000B4017">
      <w:pPr>
        <w:pStyle w:val="BodyText"/>
        <w:rPr>
          <w:lang w:val="ru-RU"/>
        </w:rPr>
      </w:pPr>
      <w:r w:rsidRPr="00192261">
        <w:rPr>
          <w:lang w:val="ru-RU"/>
        </w:rPr>
        <w:t>Дифференциальную диагностику проводят в следующей последовательности:</w:t>
      </w:r>
    </w:p>
    <w:p w:rsidR="00A97587" w:rsidRPr="00192261" w:rsidRDefault="00A97587" w:rsidP="000B4017">
      <w:pPr>
        <w:pStyle w:val="BodyText"/>
        <w:rPr>
          <w:lang w:val="ru-RU"/>
        </w:rPr>
      </w:pPr>
      <w:r w:rsidRPr="00192261">
        <w:rPr>
          <w:lang w:val="ru-RU"/>
        </w:rPr>
        <w:t>1. Оценка обнаруженных признаков заболевания и выделение наиболее важной информации о больном с точки зрения ее достоверности, информативности и специфичности.</w:t>
      </w:r>
    </w:p>
    <w:p w:rsidR="00A97587" w:rsidRPr="00192261" w:rsidRDefault="00A97587" w:rsidP="000B4017">
      <w:pPr>
        <w:pStyle w:val="BodyText"/>
        <w:rPr>
          <w:lang w:val="ru-RU"/>
        </w:rPr>
      </w:pPr>
      <w:r w:rsidRPr="00192261">
        <w:rPr>
          <w:lang w:val="ru-RU"/>
        </w:rPr>
        <w:t>2. Выделение симптомокомплекса, состоящего из достоверных, информативных и, по возможности, специфических признаков. Симптомокомплекс может быть расширенным, если включает большое количество признаков (чаще наблюдается при недостаточной специфичности признаков), и суженным при наличии количества признаков, из которых один или несколько специфичны для определенного заболевания.</w:t>
      </w:r>
    </w:p>
    <w:p w:rsidR="00A97587" w:rsidRPr="00192261" w:rsidRDefault="00A97587" w:rsidP="000B4017">
      <w:pPr>
        <w:pStyle w:val="BodyText"/>
        <w:rPr>
          <w:lang w:val="ru-RU"/>
        </w:rPr>
      </w:pPr>
      <w:r w:rsidRPr="00192261">
        <w:rPr>
          <w:lang w:val="ru-RU"/>
        </w:rPr>
        <w:t>3. Составление перечня заболеваний, имеющих сходные симптомы, с которыми необходимо дифференцировать имеющееся у больного заболевание, и построение «модели» альтернативных, т. е. взаимоисключающих, симптомокомплексов.</w:t>
      </w:r>
    </w:p>
    <w:p w:rsidR="00A97587" w:rsidRPr="00192261" w:rsidRDefault="00A97587" w:rsidP="000B4017">
      <w:pPr>
        <w:pStyle w:val="BodyText"/>
        <w:rPr>
          <w:lang w:val="ru-RU"/>
        </w:rPr>
      </w:pPr>
      <w:r w:rsidRPr="00192261">
        <w:rPr>
          <w:lang w:val="ru-RU"/>
        </w:rPr>
        <w:t>4. Сопоставление симптомокомплекса, выявленного у больного, с альтернативными симптомокомплексами путем сравнения имеющихся и отсутствующих признаков, входящих в симптомокомплексы. При этом решающее значение имеют признаки, наиболее специфичные для определенного заболевания: наличие одного или нескольких таких признаков в симптомокомплексе, характерном для того или иного заболевания, позволяет установить диагноз.</w:t>
      </w:r>
    </w:p>
    <w:p w:rsidR="00A97587" w:rsidRDefault="00A97587" w:rsidP="000B4017">
      <w:pPr>
        <w:pStyle w:val="BodyText"/>
        <w:rPr>
          <w:lang w:val="ru-RU"/>
        </w:rPr>
      </w:pPr>
      <w:r w:rsidRPr="00192261">
        <w:rPr>
          <w:lang w:val="ru-RU"/>
        </w:rPr>
        <w:t>В том случае, если информации недостаточно для проведения дифференциальной диагностики, необходимо дообследовать больного, для того чтобы получить дополнительные данные, необходимые для построения альтернативного симптомокомплекса и последующего повторного проведения дифференциальной диагностики</w:t>
      </w:r>
    </w:p>
    <w:p w:rsidR="00A97587" w:rsidRPr="00192261" w:rsidRDefault="00A97587" w:rsidP="000B4017">
      <w:pPr>
        <w:pStyle w:val="BodyText"/>
        <w:rPr>
          <w:lang w:val="ru-RU"/>
        </w:rPr>
        <w:sectPr w:rsidR="00A97587" w:rsidRPr="00192261" w:rsidSect="00A0111B">
          <w:headerReference w:type="default" r:id="rId7"/>
          <w:footerReference w:type="default" r:id="rId8"/>
          <w:pgSz w:w="11906" w:h="16838"/>
          <w:pgMar w:top="1258" w:right="851" w:bottom="540" w:left="1701" w:header="360" w:footer="709" w:gutter="0"/>
          <w:cols w:space="708"/>
          <w:docGrid w:linePitch="360"/>
        </w:sectPr>
      </w:pPr>
    </w:p>
    <w:p w:rsidR="00A97587" w:rsidRPr="004D6B46" w:rsidRDefault="00A97587" w:rsidP="000B4017">
      <w:pPr>
        <w:widowControl w:val="0"/>
        <w:spacing w:after="0" w:line="300" w:lineRule="exact"/>
        <w:ind w:firstLine="420"/>
        <w:jc w:val="right"/>
        <w:rPr>
          <w:b/>
          <w:sz w:val="24"/>
          <w:szCs w:val="24"/>
        </w:rPr>
      </w:pPr>
      <w:r w:rsidRPr="004D6B46">
        <w:rPr>
          <w:b/>
          <w:sz w:val="24"/>
          <w:szCs w:val="24"/>
        </w:rPr>
        <w:t>Таблица 3</w:t>
      </w:r>
    </w:p>
    <w:p w:rsidR="00A97587" w:rsidRPr="004D6B46" w:rsidRDefault="00A97587" w:rsidP="000B4017">
      <w:pPr>
        <w:widowControl w:val="0"/>
        <w:spacing w:after="0" w:line="300" w:lineRule="exact"/>
        <w:ind w:firstLine="420"/>
        <w:jc w:val="center"/>
        <w:rPr>
          <w:b/>
          <w:sz w:val="24"/>
          <w:szCs w:val="24"/>
        </w:rPr>
      </w:pPr>
      <w:r w:rsidRPr="004D6B46">
        <w:rPr>
          <w:b/>
          <w:sz w:val="24"/>
          <w:szCs w:val="24"/>
        </w:rPr>
        <w:t>Дифференциальная диагностика туберкулеза органов дыхания</w:t>
      </w:r>
    </w:p>
    <w:p w:rsidR="00A97587" w:rsidRPr="004D6B46" w:rsidRDefault="00A97587" w:rsidP="000B4017">
      <w:pPr>
        <w:widowControl w:val="0"/>
        <w:spacing w:after="0" w:line="300" w:lineRule="exact"/>
        <w:ind w:firstLine="420"/>
        <w:jc w:val="both"/>
        <w:rPr>
          <w:sz w:val="24"/>
          <w:szCs w:val="24"/>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640"/>
        <w:gridCol w:w="5390"/>
        <w:gridCol w:w="4620"/>
      </w:tblGrid>
      <w:tr w:rsidR="00A97587" w:rsidRPr="00192261" w:rsidTr="002C7D0F">
        <w:trPr>
          <w:trHeight w:val="20"/>
          <w:tblHeader/>
        </w:trPr>
        <w:tc>
          <w:tcPr>
            <w:tcW w:w="2088" w:type="dxa"/>
            <w:vAlign w:val="center"/>
          </w:tcPr>
          <w:p w:rsidR="00A97587" w:rsidRPr="00192261" w:rsidRDefault="00A97587" w:rsidP="002C7D0F">
            <w:pPr>
              <w:pStyle w:val="a0"/>
              <w:jc w:val="center"/>
              <w:rPr>
                <w:b/>
              </w:rPr>
            </w:pPr>
            <w:r w:rsidRPr="00192261">
              <w:rPr>
                <w:b/>
              </w:rPr>
              <w:t>Изменения,  выявленные на рентгенограммах и КТ ОГК</w:t>
            </w:r>
          </w:p>
        </w:tc>
        <w:tc>
          <w:tcPr>
            <w:tcW w:w="2640" w:type="dxa"/>
            <w:vAlign w:val="center"/>
          </w:tcPr>
          <w:p w:rsidR="00A97587" w:rsidRPr="00192261" w:rsidRDefault="00A97587" w:rsidP="002C7D0F">
            <w:pPr>
              <w:pStyle w:val="a0"/>
              <w:jc w:val="center"/>
              <w:rPr>
                <w:b/>
              </w:rPr>
            </w:pPr>
            <w:r w:rsidRPr="00192261">
              <w:rPr>
                <w:b/>
              </w:rPr>
              <w:t>Заболевания, с которыми следует проводить дифференциальную диагностику</w:t>
            </w:r>
          </w:p>
        </w:tc>
        <w:tc>
          <w:tcPr>
            <w:tcW w:w="5390" w:type="dxa"/>
            <w:vAlign w:val="center"/>
          </w:tcPr>
          <w:p w:rsidR="00A97587" w:rsidRPr="00192261" w:rsidRDefault="00A97587" w:rsidP="002C7D0F">
            <w:pPr>
              <w:pStyle w:val="a0"/>
              <w:jc w:val="center"/>
              <w:rPr>
                <w:b/>
              </w:rPr>
            </w:pPr>
            <w:r w:rsidRPr="00192261">
              <w:rPr>
                <w:b/>
              </w:rPr>
              <w:t>Признаки, не характерные для  туберкулеза</w:t>
            </w:r>
          </w:p>
        </w:tc>
        <w:tc>
          <w:tcPr>
            <w:tcW w:w="4620" w:type="dxa"/>
            <w:vAlign w:val="center"/>
          </w:tcPr>
          <w:p w:rsidR="00A97587" w:rsidRPr="00192261" w:rsidRDefault="00A97587" w:rsidP="002C7D0F">
            <w:pPr>
              <w:pStyle w:val="a0"/>
              <w:jc w:val="center"/>
              <w:rPr>
                <w:b/>
              </w:rPr>
            </w:pPr>
            <w:r w:rsidRPr="00192261">
              <w:rPr>
                <w:b/>
              </w:rPr>
              <w:t>Признаки, характерные для туберкулеза</w:t>
            </w:r>
          </w:p>
        </w:tc>
      </w:tr>
      <w:tr w:rsidR="00A97587" w:rsidRPr="003F52C2" w:rsidTr="002C7D0F">
        <w:trPr>
          <w:trHeight w:val="20"/>
        </w:trPr>
        <w:tc>
          <w:tcPr>
            <w:tcW w:w="2088" w:type="dxa"/>
            <w:vMerge w:val="restart"/>
          </w:tcPr>
          <w:p w:rsidR="00A97587" w:rsidRPr="003F52C2" w:rsidRDefault="00A97587" w:rsidP="002C7D0F">
            <w:pPr>
              <w:pStyle w:val="a0"/>
            </w:pPr>
            <w:r w:rsidRPr="003F52C2">
              <w:t>Немногочисленные  очаговые изменения различной плотности</w:t>
            </w:r>
          </w:p>
        </w:tc>
        <w:tc>
          <w:tcPr>
            <w:tcW w:w="2640" w:type="dxa"/>
          </w:tcPr>
          <w:p w:rsidR="00A97587" w:rsidRPr="003F52C2" w:rsidRDefault="00A97587" w:rsidP="002C7D0F">
            <w:pPr>
              <w:pStyle w:val="a0"/>
            </w:pPr>
            <w:r w:rsidRPr="003F52C2">
              <w:t xml:space="preserve">Пневмония </w:t>
            </w:r>
          </w:p>
        </w:tc>
        <w:tc>
          <w:tcPr>
            <w:tcW w:w="5390" w:type="dxa"/>
          </w:tcPr>
          <w:p w:rsidR="00A97587" w:rsidRPr="003F52C2" w:rsidRDefault="00A97587" w:rsidP="002C7D0F">
            <w:pPr>
              <w:pStyle w:val="a0"/>
            </w:pPr>
            <w:r w:rsidRPr="003F52C2">
              <w:t>Отсутствие МБТ и ДНК МБТ в мокроте; выделение возбудителя при посеве мокроты на неспецифическую микрофлору;</w:t>
            </w:r>
          </w:p>
          <w:p w:rsidR="00A97587" w:rsidRPr="003F52C2" w:rsidRDefault="00A97587" w:rsidP="002C7D0F">
            <w:pPr>
              <w:pStyle w:val="a0"/>
            </w:pPr>
            <w:r w:rsidRPr="003F52C2">
              <w:t>отрицательные Диаскинтест и проба Манту;</w:t>
            </w:r>
          </w:p>
          <w:p w:rsidR="00A97587" w:rsidRPr="003F52C2" w:rsidRDefault="00A97587" w:rsidP="002C7D0F">
            <w:pPr>
              <w:pStyle w:val="a0"/>
            </w:pPr>
            <w:r w:rsidRPr="003F52C2">
              <w:t>быстрое (менее месяца)  рассасывание очаговых теней в процессе лечения антибиотиками широкого спектра действия.</w:t>
            </w:r>
          </w:p>
        </w:tc>
        <w:tc>
          <w:tcPr>
            <w:tcW w:w="4620" w:type="dxa"/>
          </w:tcPr>
          <w:p w:rsidR="00A97587" w:rsidRPr="003F52C2" w:rsidRDefault="00A97587" w:rsidP="002C7D0F">
            <w:pPr>
              <w:pStyle w:val="a0"/>
            </w:pPr>
            <w:r w:rsidRPr="003F52C2">
              <w:t>Обнаружение МБТ и/или ДНК МБТ в мокроте или др. патологическом материале; положительные Диаскинтест и проба Манту;</w:t>
            </w:r>
          </w:p>
          <w:p w:rsidR="00A97587" w:rsidRPr="003F52C2" w:rsidRDefault="00A97587" w:rsidP="002C7D0F">
            <w:pPr>
              <w:pStyle w:val="a0"/>
            </w:pPr>
            <w:r w:rsidRPr="003F52C2">
              <w:t xml:space="preserve"> контакт с больными туберкулезом в анамнезе; отсутствие рентгенологической динамики изменений в процессе лечения антибиотиками широкого спектра действия.</w:t>
            </w: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 xml:space="preserve">Ограниченный фиброз после перенесенных воспалительных процессов </w:t>
            </w:r>
          </w:p>
        </w:tc>
        <w:tc>
          <w:tcPr>
            <w:tcW w:w="5390" w:type="dxa"/>
          </w:tcPr>
          <w:p w:rsidR="00A97587" w:rsidRPr="003F52C2" w:rsidRDefault="00A97587" w:rsidP="002C7D0F">
            <w:pPr>
              <w:pStyle w:val="a0"/>
            </w:pPr>
            <w:r w:rsidRPr="003F52C2">
              <w:t>Данные  анамнеза о перенесенных ранее воспалительных процессах в легких;</w:t>
            </w:r>
          </w:p>
          <w:p w:rsidR="00A97587" w:rsidRPr="003F52C2" w:rsidRDefault="00A97587" w:rsidP="002C7D0F">
            <w:pPr>
              <w:pStyle w:val="a0"/>
            </w:pPr>
            <w:r w:rsidRPr="003F52C2">
              <w:t xml:space="preserve">отсутствие МБТ и/или ДНК МБТ в  мокроте; </w:t>
            </w:r>
          </w:p>
          <w:p w:rsidR="00A97587" w:rsidRPr="003F52C2" w:rsidRDefault="00A97587" w:rsidP="002C7D0F">
            <w:pPr>
              <w:pStyle w:val="a0"/>
            </w:pPr>
            <w:r w:rsidRPr="003F52C2">
              <w:t>отрицательные Диаскинтест и проба Манту;</w:t>
            </w:r>
          </w:p>
          <w:p w:rsidR="00A97587" w:rsidRPr="003F52C2" w:rsidRDefault="00A97587" w:rsidP="002C7D0F">
            <w:pPr>
              <w:pStyle w:val="a0"/>
            </w:pPr>
            <w:r w:rsidRPr="003F52C2">
              <w:t>плотные очаговоподобные тени в легких при наличии фиброзных изменений.</w:t>
            </w:r>
          </w:p>
        </w:tc>
        <w:tc>
          <w:tcPr>
            <w:tcW w:w="4620" w:type="dxa"/>
          </w:tcPr>
          <w:p w:rsidR="00A97587" w:rsidRPr="003F52C2" w:rsidRDefault="00A97587" w:rsidP="002C7D0F">
            <w:pPr>
              <w:pStyle w:val="a0"/>
            </w:pPr>
            <w:r w:rsidRPr="003F52C2">
              <w:t xml:space="preserve">Данные анамнеза о контакте с больными туберкулезом, ранее перенесенном туберкулезе; </w:t>
            </w:r>
          </w:p>
          <w:p w:rsidR="00A97587" w:rsidRPr="003F52C2" w:rsidRDefault="00A97587" w:rsidP="002C7D0F">
            <w:pPr>
              <w:pStyle w:val="a0"/>
            </w:pPr>
            <w:r w:rsidRPr="003F52C2">
              <w:t xml:space="preserve">обнаружение МБТ и/или ДНК МБТ в мокроте или др. патологическом материале; положительные Диаскинтест и проба Манту; </w:t>
            </w:r>
          </w:p>
          <w:p w:rsidR="00A97587" w:rsidRPr="003F52C2" w:rsidRDefault="00A97587" w:rsidP="002C7D0F">
            <w:pPr>
              <w:pStyle w:val="a0"/>
            </w:pPr>
            <w:r w:rsidRPr="003F52C2">
              <w:t xml:space="preserve">«свежие»  очаговые тени в  легких.  </w:t>
            </w:r>
          </w:p>
        </w:tc>
      </w:tr>
      <w:tr w:rsidR="00A97587" w:rsidRPr="003F52C2" w:rsidTr="002C7D0F">
        <w:trPr>
          <w:trHeight w:val="3161"/>
        </w:trPr>
        <w:tc>
          <w:tcPr>
            <w:tcW w:w="2088" w:type="dxa"/>
          </w:tcPr>
          <w:p w:rsidR="00A97587" w:rsidRPr="003F52C2" w:rsidRDefault="00A97587" w:rsidP="002C7D0F">
            <w:pPr>
              <w:pStyle w:val="a0"/>
            </w:pPr>
            <w:r w:rsidRPr="002C33FA">
              <w:t>Затенения</w:t>
            </w:r>
            <w:r>
              <w:t xml:space="preserve"> </w:t>
            </w:r>
            <w:r w:rsidRPr="003F52C2">
              <w:t>долевой, сегментарной или субсегментарной протяженности</w:t>
            </w:r>
          </w:p>
        </w:tc>
        <w:tc>
          <w:tcPr>
            <w:tcW w:w="2640" w:type="dxa"/>
          </w:tcPr>
          <w:p w:rsidR="00A97587" w:rsidRPr="003F52C2" w:rsidRDefault="00A97587" w:rsidP="002C7D0F">
            <w:pPr>
              <w:pStyle w:val="a0"/>
            </w:pPr>
            <w:r w:rsidRPr="003F52C2">
              <w:t>Пневмония</w:t>
            </w:r>
          </w:p>
        </w:tc>
        <w:tc>
          <w:tcPr>
            <w:tcW w:w="5390" w:type="dxa"/>
          </w:tcPr>
          <w:p w:rsidR="00A97587" w:rsidRPr="003F52C2" w:rsidRDefault="00A97587" w:rsidP="002C7D0F">
            <w:pPr>
              <w:pStyle w:val="a0"/>
            </w:pPr>
            <w:r w:rsidRPr="003F52C2">
              <w:t>Отсутствие МБТ и ДНК МБТ в мокроте; выделение возбудителя при посеве мокроты на неспецифическую микрофлору;</w:t>
            </w:r>
          </w:p>
          <w:p w:rsidR="00A97587" w:rsidRPr="003F52C2" w:rsidRDefault="00A97587" w:rsidP="002C7D0F">
            <w:pPr>
              <w:pStyle w:val="a0"/>
            </w:pPr>
            <w:r w:rsidRPr="003F52C2">
              <w:t>отрицательные Диаскинтест и проба Манту;</w:t>
            </w:r>
          </w:p>
          <w:p w:rsidR="00A97587" w:rsidRPr="003F52C2" w:rsidRDefault="00A97587" w:rsidP="002C7D0F">
            <w:pPr>
              <w:pStyle w:val="a0"/>
            </w:pPr>
            <w:r w:rsidRPr="003F52C2">
              <w:t>быстрое (менее месяца)  рассасывание очаговых теней в процессе лечения антибиотиками широкого спектра действия.</w:t>
            </w:r>
          </w:p>
        </w:tc>
        <w:tc>
          <w:tcPr>
            <w:tcW w:w="4620" w:type="dxa"/>
          </w:tcPr>
          <w:p w:rsidR="00A97587" w:rsidRPr="003F52C2" w:rsidRDefault="00A97587" w:rsidP="002C7D0F">
            <w:pPr>
              <w:pStyle w:val="a0"/>
            </w:pPr>
            <w:r w:rsidRPr="003F52C2">
              <w:t xml:space="preserve">Обнаружение МБТ и/или ДНК МБТ в мокроте или др. патологическом материале;  </w:t>
            </w:r>
          </w:p>
          <w:p w:rsidR="00A97587" w:rsidRPr="003F52C2" w:rsidRDefault="00A97587" w:rsidP="002C7D0F">
            <w:pPr>
              <w:pStyle w:val="a0"/>
            </w:pPr>
            <w:r w:rsidRPr="003F52C2">
              <w:t xml:space="preserve">контакт с больным туберкулезом в анамнезе; </w:t>
            </w:r>
          </w:p>
          <w:p w:rsidR="00A97587" w:rsidRPr="003F52C2" w:rsidRDefault="00A97587" w:rsidP="002C7D0F">
            <w:pPr>
              <w:pStyle w:val="a0"/>
            </w:pPr>
            <w:r>
              <w:t xml:space="preserve">мягко очерченные </w:t>
            </w:r>
            <w:r w:rsidRPr="003F52C2">
              <w:t>перифокальные  очаговые тени;</w:t>
            </w:r>
          </w:p>
          <w:p w:rsidR="00A97587" w:rsidRPr="003F52C2" w:rsidRDefault="00A97587" w:rsidP="002C7D0F">
            <w:pPr>
              <w:pStyle w:val="a0"/>
            </w:pPr>
            <w:r w:rsidRPr="003F52C2">
              <w:t xml:space="preserve">положительные Диаскинтест и проба Манту; отсутствие динамики изменений в процессе в процессе лечения антибиотиками широкого спектра действия; цитологические и гистологическе признаки туберкулеза в материале биопсии. </w:t>
            </w:r>
          </w:p>
        </w:tc>
      </w:tr>
      <w:tr w:rsidR="00A97587" w:rsidRPr="003F52C2" w:rsidTr="002C7D0F">
        <w:trPr>
          <w:trHeight w:val="20"/>
        </w:trPr>
        <w:tc>
          <w:tcPr>
            <w:tcW w:w="2088" w:type="dxa"/>
            <w:vMerge w:val="restart"/>
          </w:tcPr>
          <w:p w:rsidR="00A97587" w:rsidRPr="003F52C2" w:rsidRDefault="00A97587" w:rsidP="002C7D0F">
            <w:pPr>
              <w:pStyle w:val="a0"/>
            </w:pPr>
            <w:r w:rsidRPr="003F52C2">
              <w:t xml:space="preserve"> </w:t>
            </w:r>
          </w:p>
        </w:tc>
        <w:tc>
          <w:tcPr>
            <w:tcW w:w="2640" w:type="dxa"/>
          </w:tcPr>
          <w:p w:rsidR="00A97587" w:rsidRPr="003F52C2" w:rsidRDefault="00A97587" w:rsidP="002C7D0F">
            <w:pPr>
              <w:pStyle w:val="a0"/>
              <w:keepLines/>
            </w:pPr>
            <w:r w:rsidRPr="003F52C2">
              <w:t>Ателектаз, обусловленный эндобронхиальным ростом опухоли</w:t>
            </w:r>
          </w:p>
        </w:tc>
        <w:tc>
          <w:tcPr>
            <w:tcW w:w="5390" w:type="dxa"/>
            <w:vMerge w:val="restart"/>
          </w:tcPr>
          <w:p w:rsidR="00A97587" w:rsidRPr="003F52C2" w:rsidRDefault="00A97587" w:rsidP="002C7D0F">
            <w:pPr>
              <w:pStyle w:val="a0"/>
            </w:pPr>
            <w:r w:rsidRPr="003F52C2">
              <w:t>Отсутствие МБТ и ДНК МБТ в мокроте; опухолевые клетки в мокроте или материале биопсии;</w:t>
            </w:r>
          </w:p>
          <w:p w:rsidR="00A97587" w:rsidRPr="003F52C2" w:rsidRDefault="00A97587" w:rsidP="002C7D0F">
            <w:pPr>
              <w:pStyle w:val="a0"/>
            </w:pPr>
            <w:r w:rsidRPr="003F52C2">
              <w:t>отрицательные Диаскинтест, проба Манту.</w:t>
            </w:r>
          </w:p>
        </w:tc>
        <w:tc>
          <w:tcPr>
            <w:tcW w:w="4620" w:type="dxa"/>
            <w:vMerge w:val="restart"/>
          </w:tcPr>
          <w:p w:rsidR="00A97587" w:rsidRPr="003F52C2" w:rsidRDefault="00A97587" w:rsidP="002C7D0F">
            <w:pPr>
              <w:pStyle w:val="a0"/>
            </w:pPr>
            <w:r w:rsidRPr="003F52C2">
              <w:t xml:space="preserve">Обнаружение МБТ и/или ДНК МБТ в мокроте или др. патологическом материале;  </w:t>
            </w:r>
          </w:p>
          <w:p w:rsidR="00A97587" w:rsidRPr="003F52C2" w:rsidRDefault="00A97587" w:rsidP="002C7D0F">
            <w:pPr>
              <w:pStyle w:val="a0"/>
            </w:pPr>
            <w:r w:rsidRPr="003F52C2">
              <w:t xml:space="preserve">контакт с больным туберкулезом в анамнезе; </w:t>
            </w:r>
          </w:p>
          <w:p w:rsidR="00A97587" w:rsidRPr="003F52C2" w:rsidRDefault="00A97587" w:rsidP="002C7D0F">
            <w:pPr>
              <w:pStyle w:val="a0"/>
            </w:pPr>
            <w:r>
              <w:t xml:space="preserve">мягко очерченные </w:t>
            </w:r>
            <w:r w:rsidRPr="003F52C2">
              <w:t>перифокальные  очаговые тени;</w:t>
            </w:r>
          </w:p>
          <w:p w:rsidR="00A97587" w:rsidRPr="003F52C2" w:rsidRDefault="00A97587" w:rsidP="002C7D0F">
            <w:pPr>
              <w:pStyle w:val="a0"/>
            </w:pPr>
            <w:r w:rsidRPr="003F52C2">
              <w:t>цитологические и гистологическе признаки туберкулеза в материале биопсии; положительные Диаскинтест и проба Манту.</w:t>
            </w:r>
            <w:r w:rsidRPr="003F52C2" w:rsidDel="00AB306B">
              <w:t xml:space="preserve"> </w:t>
            </w: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Бронхиоло-альвеолярный рак</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val="restart"/>
          </w:tcPr>
          <w:p w:rsidR="00A97587" w:rsidRPr="003F52C2" w:rsidRDefault="00A97587" w:rsidP="002C7D0F">
            <w:pPr>
              <w:pStyle w:val="a0"/>
            </w:pPr>
          </w:p>
        </w:tc>
        <w:tc>
          <w:tcPr>
            <w:tcW w:w="2640" w:type="dxa"/>
          </w:tcPr>
          <w:p w:rsidR="00A97587" w:rsidRPr="003F52C2" w:rsidRDefault="00A97587" w:rsidP="002C7D0F">
            <w:pPr>
              <w:pStyle w:val="a0"/>
            </w:pPr>
            <w:r w:rsidRPr="003F52C2">
              <w:t>Легочная  форма лимфогранулематоза</w:t>
            </w:r>
          </w:p>
        </w:tc>
        <w:tc>
          <w:tcPr>
            <w:tcW w:w="5390" w:type="dxa"/>
          </w:tcPr>
          <w:p w:rsidR="00A97587" w:rsidRPr="003F52C2" w:rsidRDefault="00A97587" w:rsidP="002C7D0F">
            <w:pPr>
              <w:pStyle w:val="a0"/>
            </w:pPr>
            <w:r w:rsidRPr="003F52C2">
              <w:t xml:space="preserve">Отсутствие МБТ и ДНК МБТ в мокроте; </w:t>
            </w:r>
          </w:p>
          <w:p w:rsidR="00A97587" w:rsidRPr="003F52C2" w:rsidRDefault="00A97587" w:rsidP="002C7D0F">
            <w:pPr>
              <w:pStyle w:val="a0"/>
            </w:pPr>
            <w:r w:rsidRPr="003F52C2">
              <w:t>отрицательные Диаскинтест, проба Манту; обнаружение клеток Березовского-Штернберга при цитологическом и гистологическом осследовании материала биопсии.</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Альвеолярный  протеиноз</w:t>
            </w:r>
          </w:p>
        </w:tc>
        <w:tc>
          <w:tcPr>
            <w:tcW w:w="5390" w:type="dxa"/>
          </w:tcPr>
          <w:p w:rsidR="00A97587" w:rsidRPr="003F52C2" w:rsidRDefault="00A97587" w:rsidP="002C7D0F">
            <w:pPr>
              <w:pStyle w:val="a0"/>
            </w:pPr>
            <w:r w:rsidRPr="003F52C2">
              <w:t>Отсутствие МБТ и ДНК МБТ в мокроте; в материале биопсии;</w:t>
            </w:r>
            <w:r>
              <w:t xml:space="preserve"> </w:t>
            </w:r>
            <w:r w:rsidRPr="003F52C2">
              <w:t>отрицательные Диаскинтест и проба Манту,</w:t>
            </w:r>
          </w:p>
          <w:p w:rsidR="00A97587" w:rsidRPr="003F52C2" w:rsidRDefault="00A97587" w:rsidP="002C7D0F">
            <w:pPr>
              <w:pStyle w:val="a0"/>
            </w:pPr>
            <w:r w:rsidRPr="003F52C2">
              <w:t>обнаружение ШИК-положительных липопротеидных масс и кристаллов холестерина при цитологическом и гистологическом осследовании материала биопсии и бронхоальвеолярного лаважа.</w:t>
            </w:r>
          </w:p>
        </w:tc>
        <w:tc>
          <w:tcPr>
            <w:tcW w:w="4620" w:type="dxa"/>
            <w:vMerge/>
          </w:tcPr>
          <w:p w:rsidR="00A97587" w:rsidRPr="003F52C2" w:rsidRDefault="00A97587" w:rsidP="002C7D0F">
            <w:pPr>
              <w:pStyle w:val="a0"/>
            </w:pPr>
          </w:p>
        </w:tc>
      </w:tr>
      <w:tr w:rsidR="00A97587" w:rsidRPr="003F52C2" w:rsidTr="002C7D0F">
        <w:trPr>
          <w:trHeight w:val="20"/>
        </w:trPr>
        <w:tc>
          <w:tcPr>
            <w:tcW w:w="2088" w:type="dxa"/>
          </w:tcPr>
          <w:p w:rsidR="00A97587" w:rsidRPr="003F52C2" w:rsidRDefault="00A97587" w:rsidP="002C7D0F">
            <w:pPr>
              <w:pStyle w:val="a0"/>
            </w:pPr>
          </w:p>
        </w:tc>
        <w:tc>
          <w:tcPr>
            <w:tcW w:w="2640" w:type="dxa"/>
          </w:tcPr>
          <w:p w:rsidR="00A97587" w:rsidRPr="003F52C2" w:rsidRDefault="00A97587" w:rsidP="002C7D0F">
            <w:pPr>
              <w:pStyle w:val="a0"/>
            </w:pPr>
            <w:r w:rsidRPr="003F52C2">
              <w:t>Гранулематоз Вегенера</w:t>
            </w:r>
          </w:p>
        </w:tc>
        <w:tc>
          <w:tcPr>
            <w:tcW w:w="5390" w:type="dxa"/>
          </w:tcPr>
          <w:p w:rsidR="00A97587" w:rsidRPr="003F52C2" w:rsidRDefault="00A97587" w:rsidP="002C7D0F">
            <w:pPr>
              <w:pStyle w:val="a0"/>
            </w:pPr>
            <w:r w:rsidRPr="003F52C2">
              <w:t>Отсутствие МБТ и ДНК МБТ  в  мокроте при наличии участков деструкции в легочных инфильтатах;</w:t>
            </w:r>
          </w:p>
          <w:p w:rsidR="00A97587" w:rsidRPr="003F52C2" w:rsidRDefault="00A97587" w:rsidP="002C7D0F">
            <w:pPr>
              <w:pStyle w:val="a0"/>
            </w:pPr>
            <w:r w:rsidRPr="003F52C2">
              <w:t xml:space="preserve">поражение почек, глаз, верхних дыхательных путей; </w:t>
            </w:r>
          </w:p>
          <w:p w:rsidR="00A97587" w:rsidRPr="003F52C2" w:rsidRDefault="00A97587" w:rsidP="002C7D0F">
            <w:pPr>
              <w:pStyle w:val="a0"/>
            </w:pPr>
            <w:r w:rsidRPr="003F52C2">
              <w:t>картина некротизирующего васкулита и нетуберкулезного гранулематоза в биоптатах легких</w:t>
            </w:r>
          </w:p>
          <w:p w:rsidR="00A97587" w:rsidRPr="003F52C2" w:rsidRDefault="00A97587" w:rsidP="002C7D0F">
            <w:pPr>
              <w:pStyle w:val="a0"/>
            </w:pPr>
            <w:r w:rsidRPr="003F52C2">
              <w:t xml:space="preserve">повышенный уровень ANCA в крови. </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val="restart"/>
          </w:tcPr>
          <w:p w:rsidR="00A97587" w:rsidRPr="003F52C2" w:rsidRDefault="00A97587" w:rsidP="002C7D0F">
            <w:pPr>
              <w:pStyle w:val="a0"/>
            </w:pPr>
            <w:r w:rsidRPr="003F52C2">
              <w:t>Округлые  и шаровидные тени</w:t>
            </w:r>
          </w:p>
        </w:tc>
        <w:tc>
          <w:tcPr>
            <w:tcW w:w="2640" w:type="dxa"/>
          </w:tcPr>
          <w:p w:rsidR="00A97587" w:rsidRPr="003F52C2" w:rsidRDefault="00A97587" w:rsidP="002C7D0F">
            <w:pPr>
              <w:pStyle w:val="a0"/>
            </w:pPr>
            <w:r w:rsidRPr="003F52C2">
              <w:t>Периферический  рак</w:t>
            </w:r>
          </w:p>
        </w:tc>
        <w:tc>
          <w:tcPr>
            <w:tcW w:w="5390" w:type="dxa"/>
          </w:tcPr>
          <w:p w:rsidR="00A97587" w:rsidRPr="003F52C2" w:rsidRDefault="00A97587" w:rsidP="002C7D0F">
            <w:pPr>
              <w:pStyle w:val="a0"/>
            </w:pPr>
            <w:r w:rsidRPr="003F52C2">
              <w:t>Отсутствие МБТ и ДНК МБТ в мокроте</w:t>
            </w:r>
            <w:r w:rsidRPr="002C33FA">
              <w:t>;</w:t>
            </w:r>
            <w:r w:rsidRPr="003F52C2">
              <w:t xml:space="preserve"> отрицательные Диаскинтест, проба Манту опухолевые клетки в материале биопсии.</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Доброкачественная  опухоль легкого</w:t>
            </w:r>
          </w:p>
        </w:tc>
        <w:tc>
          <w:tcPr>
            <w:tcW w:w="5390" w:type="dxa"/>
          </w:tcPr>
          <w:p w:rsidR="00A97587" w:rsidRPr="003F52C2" w:rsidRDefault="00A97587" w:rsidP="002C7D0F">
            <w:pPr>
              <w:pStyle w:val="a0"/>
            </w:pPr>
            <w:r w:rsidRPr="003F52C2">
              <w:t xml:space="preserve">Отсутствие МБТ и ДНК МБТ в мокроте; </w:t>
            </w:r>
          </w:p>
          <w:p w:rsidR="00A97587" w:rsidRPr="003F52C2" w:rsidRDefault="00A97587" w:rsidP="002C7D0F">
            <w:pPr>
              <w:pStyle w:val="a0"/>
            </w:pPr>
            <w:r w:rsidRPr="003F52C2">
              <w:t>отрицательные Диаскинтест и проба Манту; характерная гистологическая картина в материале биопсии.</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val="restart"/>
          </w:tcPr>
          <w:p w:rsidR="00A97587" w:rsidRPr="003F52C2" w:rsidRDefault="00A97587" w:rsidP="002C7D0F">
            <w:pPr>
              <w:pStyle w:val="a0"/>
            </w:pPr>
            <w:r w:rsidRPr="003F52C2">
              <w:t>Кольцевидные, полостные изменения</w:t>
            </w:r>
          </w:p>
        </w:tc>
        <w:tc>
          <w:tcPr>
            <w:tcW w:w="2640" w:type="dxa"/>
          </w:tcPr>
          <w:p w:rsidR="00A97587" w:rsidRPr="003F52C2" w:rsidRDefault="00A97587" w:rsidP="002C7D0F">
            <w:pPr>
              <w:pStyle w:val="a0"/>
            </w:pPr>
            <w:r w:rsidRPr="003F52C2">
              <w:t>Абсцесс легкого</w:t>
            </w:r>
          </w:p>
        </w:tc>
        <w:tc>
          <w:tcPr>
            <w:tcW w:w="5390" w:type="dxa"/>
          </w:tcPr>
          <w:p w:rsidR="00A97587" w:rsidRPr="003F52C2" w:rsidRDefault="00A97587" w:rsidP="002C7D0F">
            <w:pPr>
              <w:pStyle w:val="a0"/>
            </w:pPr>
            <w:r w:rsidRPr="003F52C2">
              <w:t>Острое начало заболевания;</w:t>
            </w:r>
          </w:p>
          <w:p w:rsidR="00A97587" w:rsidRPr="003F52C2" w:rsidRDefault="00A97587" w:rsidP="002C7D0F">
            <w:pPr>
              <w:pStyle w:val="a0"/>
            </w:pPr>
            <w:r w:rsidRPr="003F52C2">
              <w:t>резко выраженные симптомы и воспалительные изменения в крови;</w:t>
            </w:r>
          </w:p>
          <w:p w:rsidR="00A97587" w:rsidRPr="003F52C2" w:rsidRDefault="00A97587" w:rsidP="002C7D0F">
            <w:pPr>
              <w:pStyle w:val="a0"/>
            </w:pPr>
            <w:r w:rsidRPr="003F52C2">
              <w:t>Отсутствие МБТ и ДНК МБТ в мокроте; выделение возбудителя при посеве мокроты на неспецифическую микрофлору;</w:t>
            </w:r>
          </w:p>
          <w:p w:rsidR="00A97587" w:rsidRPr="003F52C2" w:rsidRDefault="00A97587" w:rsidP="002C7D0F">
            <w:pPr>
              <w:pStyle w:val="a0"/>
            </w:pPr>
            <w:r w:rsidRPr="003F52C2">
              <w:t>отрицательные Диаскинтест, проба Манту; быстрый ответ на лечение антибиотиками широкого спектра действия.</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Распадающийся рак легкого</w:t>
            </w:r>
          </w:p>
          <w:p w:rsidR="00A97587" w:rsidRPr="003F52C2" w:rsidRDefault="00A97587" w:rsidP="002C7D0F">
            <w:pPr>
              <w:pStyle w:val="a0"/>
            </w:pPr>
          </w:p>
        </w:tc>
        <w:tc>
          <w:tcPr>
            <w:tcW w:w="5390" w:type="dxa"/>
          </w:tcPr>
          <w:p w:rsidR="00A97587" w:rsidRPr="003F52C2" w:rsidRDefault="00A97587" w:rsidP="002C7D0F">
            <w:pPr>
              <w:pStyle w:val="a0"/>
            </w:pPr>
            <w:r w:rsidRPr="003F52C2">
              <w:t>Отсутствие МБТ и ДНК МБТ в мокроте; опухолевые клетки в мокроте или материале биопсии;</w:t>
            </w:r>
          </w:p>
          <w:p w:rsidR="00A97587" w:rsidRPr="003F52C2" w:rsidRDefault="00A97587" w:rsidP="002C7D0F">
            <w:pPr>
              <w:pStyle w:val="a0"/>
            </w:pPr>
            <w:r w:rsidRPr="003F52C2">
              <w:t>отрицательные Диаскинтест, проба Манту</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val="restart"/>
          </w:tcPr>
          <w:p w:rsidR="00A97587" w:rsidRPr="003F52C2" w:rsidRDefault="00A97587" w:rsidP="002C7D0F">
            <w:pPr>
              <w:pStyle w:val="a0"/>
            </w:pPr>
            <w:r w:rsidRPr="003F52C2">
              <w:t>Диссеминация в легких</w:t>
            </w:r>
          </w:p>
        </w:tc>
        <w:tc>
          <w:tcPr>
            <w:tcW w:w="2640" w:type="dxa"/>
          </w:tcPr>
          <w:p w:rsidR="00A97587" w:rsidRPr="003F52C2" w:rsidRDefault="00A97587" w:rsidP="002C7D0F">
            <w:pPr>
              <w:pStyle w:val="a0"/>
            </w:pPr>
            <w:r w:rsidRPr="003F52C2">
              <w:t xml:space="preserve">Карциноматоз </w:t>
            </w:r>
          </w:p>
        </w:tc>
        <w:tc>
          <w:tcPr>
            <w:tcW w:w="5390" w:type="dxa"/>
            <w:vMerge w:val="restart"/>
          </w:tcPr>
          <w:p w:rsidR="00A97587" w:rsidRPr="003F52C2" w:rsidRDefault="00A97587" w:rsidP="002C7D0F">
            <w:pPr>
              <w:pStyle w:val="a0"/>
            </w:pPr>
            <w:r w:rsidRPr="003F52C2">
              <w:t>Отсутствие МБТ и ДНК МБТ в мокроте, БАЛ; отрицательные Диаскинтест и проба Манту;</w:t>
            </w:r>
          </w:p>
          <w:p w:rsidR="00A97587" w:rsidRPr="003F52C2" w:rsidRDefault="00A97587" w:rsidP="002C7D0F">
            <w:pPr>
              <w:pStyle w:val="a0"/>
            </w:pPr>
            <w:r w:rsidRPr="003F52C2">
              <w:t>результаты цитологических, гистологических и иммуногистохимических исследований биоптатов легких, БАЛ</w:t>
            </w:r>
          </w:p>
        </w:tc>
        <w:tc>
          <w:tcPr>
            <w:tcW w:w="4620" w:type="dxa"/>
            <w:vMerge w:val="restart"/>
          </w:tcPr>
          <w:p w:rsidR="00A97587" w:rsidRPr="003F52C2" w:rsidRDefault="00A97587" w:rsidP="002C7D0F">
            <w:pPr>
              <w:pStyle w:val="a0"/>
            </w:pPr>
            <w:r w:rsidRPr="003F52C2">
              <w:t>Обнаружение МБТ и/или ДНК МБТ в мокроте, БАЛ; положительные Диаскинтест и проба Манту;</w:t>
            </w:r>
            <w:r>
              <w:t xml:space="preserve"> </w:t>
            </w:r>
            <w:r w:rsidRPr="003F52C2">
              <w:t xml:space="preserve">характерные для туберкулеза результаты цитологического и гистологического исследования материала при биопсии легкого, БАЛ. </w:t>
            </w:r>
          </w:p>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Метастазы  опухолей</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Эссенциальный  гемосидероз</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 xml:space="preserve">Лангергансоклеточный гистиоцитоз </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Первичный  легочный амилоидоз</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Альвеолярный  микролитиаз</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 xml:space="preserve">Саркоидоз </w:t>
            </w:r>
          </w:p>
        </w:tc>
        <w:tc>
          <w:tcPr>
            <w:tcW w:w="5390" w:type="dxa"/>
          </w:tcPr>
          <w:p w:rsidR="00A97587" w:rsidRPr="003F52C2" w:rsidRDefault="00A97587" w:rsidP="002C7D0F">
            <w:pPr>
              <w:pStyle w:val="a0"/>
            </w:pPr>
            <w:r w:rsidRPr="003F52C2">
              <w:t>Отсутствие МБТ и ДНК МБТ в БАЛ;</w:t>
            </w:r>
          </w:p>
          <w:p w:rsidR="00A97587" w:rsidRPr="003F52C2" w:rsidRDefault="00A97587" w:rsidP="002C7D0F">
            <w:pPr>
              <w:pStyle w:val="a0"/>
            </w:pPr>
            <w:r w:rsidRPr="003F52C2">
              <w:t xml:space="preserve">отрицательные Диаскинтест и проба Манту; </w:t>
            </w:r>
          </w:p>
          <w:p w:rsidR="00A97587" w:rsidRPr="003F52C2" w:rsidRDefault="00A97587" w:rsidP="002C7D0F">
            <w:pPr>
              <w:pStyle w:val="a0"/>
            </w:pPr>
            <w:r w:rsidRPr="003F52C2">
              <w:t xml:space="preserve">как правило, сочетание диссеминации в легких с увеличением внутригрудных лимфатических узлов на КТ ОГК; обнаружение гранулем из эпителиоидных клеток и гигантских клеток Пирогова-Лангханса без некроза при  гистологическом исследовании биоптатов легких  и ВГЛУ </w:t>
            </w: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val="restart"/>
          </w:tcPr>
          <w:p w:rsidR="00A97587" w:rsidRPr="003F52C2" w:rsidRDefault="00A97587" w:rsidP="002C7D0F">
            <w:pPr>
              <w:pStyle w:val="a0"/>
            </w:pPr>
            <w:r w:rsidRPr="003F52C2">
              <w:t>Увеличение  внутригрудных лимфатических узлов</w:t>
            </w:r>
          </w:p>
        </w:tc>
        <w:tc>
          <w:tcPr>
            <w:tcW w:w="2640" w:type="dxa"/>
          </w:tcPr>
          <w:p w:rsidR="00A97587" w:rsidRPr="003F52C2" w:rsidRDefault="00A97587" w:rsidP="002C7D0F">
            <w:pPr>
              <w:pStyle w:val="a0"/>
            </w:pPr>
            <w:r w:rsidRPr="003F52C2">
              <w:t xml:space="preserve">Саркоидоз </w:t>
            </w:r>
          </w:p>
        </w:tc>
        <w:tc>
          <w:tcPr>
            <w:tcW w:w="5390" w:type="dxa"/>
            <w:vMerge w:val="restart"/>
          </w:tcPr>
          <w:p w:rsidR="00A97587" w:rsidRPr="003F52C2" w:rsidRDefault="00A97587" w:rsidP="002C7D0F">
            <w:pPr>
              <w:pStyle w:val="a0"/>
            </w:pPr>
            <w:r w:rsidRPr="003F52C2">
              <w:t>Отсутствие МБТ и ДНК МБТ в  мокроте; отрицательные Диаскинтест и проба Манту;</w:t>
            </w:r>
          </w:p>
          <w:p w:rsidR="00A97587" w:rsidRPr="003F52C2" w:rsidRDefault="00A97587" w:rsidP="002C7D0F">
            <w:pPr>
              <w:pStyle w:val="a0"/>
            </w:pPr>
            <w:r w:rsidRPr="003F52C2">
              <w:t>результаты цитологического и гистологического исследования биоптатов ВГЛУ.</w:t>
            </w:r>
          </w:p>
        </w:tc>
        <w:tc>
          <w:tcPr>
            <w:tcW w:w="4620" w:type="dxa"/>
            <w:vMerge w:val="restart"/>
          </w:tcPr>
          <w:p w:rsidR="00A97587" w:rsidRPr="003F52C2" w:rsidRDefault="00A97587" w:rsidP="002C7D0F">
            <w:pPr>
              <w:pStyle w:val="a0"/>
            </w:pPr>
            <w:r w:rsidRPr="003F52C2">
              <w:t>Положительные  Диаскинтест и проба Манту;</w:t>
            </w:r>
            <w:r>
              <w:t xml:space="preserve"> </w:t>
            </w:r>
          </w:p>
          <w:p w:rsidR="00A97587" w:rsidRPr="003F52C2" w:rsidRDefault="00A97587" w:rsidP="002C7D0F">
            <w:pPr>
              <w:pStyle w:val="a0"/>
            </w:pPr>
            <w:r w:rsidRPr="003F52C2">
              <w:t>обнаружение  туберкулезных гранулем при гистологическом исследовании биоптатов ВГЛУ;</w:t>
            </w:r>
          </w:p>
          <w:p w:rsidR="00A97587" w:rsidRPr="003F52C2" w:rsidRDefault="00A97587" w:rsidP="002C7D0F">
            <w:pPr>
              <w:pStyle w:val="a0"/>
            </w:pPr>
            <w:r w:rsidRPr="003F52C2">
              <w:t xml:space="preserve"> обнаружение МБТ и/или ДНК МБТ в биоптатах ВГЛУ.</w:t>
            </w: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 xml:space="preserve">Лимфолейкоз </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vMerge/>
          </w:tcPr>
          <w:p w:rsidR="00A97587" w:rsidRPr="003F52C2" w:rsidRDefault="00A97587" w:rsidP="002C7D0F">
            <w:pPr>
              <w:pStyle w:val="a0"/>
            </w:pPr>
          </w:p>
        </w:tc>
        <w:tc>
          <w:tcPr>
            <w:tcW w:w="2640" w:type="dxa"/>
          </w:tcPr>
          <w:p w:rsidR="00A97587" w:rsidRPr="003F52C2" w:rsidRDefault="00A97587" w:rsidP="002C7D0F">
            <w:pPr>
              <w:pStyle w:val="a0"/>
            </w:pPr>
            <w:r w:rsidRPr="003F52C2">
              <w:t xml:space="preserve">Медиасинальная форма лимфогранулематоза </w:t>
            </w:r>
          </w:p>
        </w:tc>
        <w:tc>
          <w:tcPr>
            <w:tcW w:w="5390" w:type="dxa"/>
            <w:vMerge/>
          </w:tcPr>
          <w:p w:rsidR="00A97587" w:rsidRPr="003F52C2" w:rsidRDefault="00A97587" w:rsidP="002C7D0F">
            <w:pPr>
              <w:pStyle w:val="a0"/>
            </w:pPr>
          </w:p>
        </w:tc>
        <w:tc>
          <w:tcPr>
            <w:tcW w:w="4620" w:type="dxa"/>
            <w:vMerge/>
          </w:tcPr>
          <w:p w:rsidR="00A97587" w:rsidRPr="003F52C2" w:rsidRDefault="00A97587" w:rsidP="002C7D0F">
            <w:pPr>
              <w:pStyle w:val="a0"/>
            </w:pPr>
          </w:p>
        </w:tc>
      </w:tr>
      <w:tr w:rsidR="00A97587" w:rsidRPr="003F52C2" w:rsidTr="002C7D0F">
        <w:trPr>
          <w:trHeight w:val="20"/>
        </w:trPr>
        <w:tc>
          <w:tcPr>
            <w:tcW w:w="2088" w:type="dxa"/>
          </w:tcPr>
          <w:p w:rsidR="00A97587" w:rsidRPr="003F52C2" w:rsidRDefault="00A97587" w:rsidP="002C7D0F">
            <w:pPr>
              <w:pStyle w:val="a0"/>
            </w:pPr>
            <w:r w:rsidRPr="003F52C2">
              <w:t>Выпот в плевральной полости</w:t>
            </w:r>
          </w:p>
        </w:tc>
        <w:tc>
          <w:tcPr>
            <w:tcW w:w="2640" w:type="dxa"/>
          </w:tcPr>
          <w:p w:rsidR="00A97587" w:rsidRPr="003F52C2" w:rsidRDefault="00A97587" w:rsidP="002C7D0F">
            <w:pPr>
              <w:pStyle w:val="a0"/>
            </w:pPr>
            <w:r w:rsidRPr="003F52C2">
              <w:t>Застойная сердечная недостаточность, цирроз печени, микседема, уремия.</w:t>
            </w:r>
          </w:p>
        </w:tc>
        <w:tc>
          <w:tcPr>
            <w:tcW w:w="5390" w:type="dxa"/>
          </w:tcPr>
          <w:p w:rsidR="00A97587" w:rsidRPr="003F52C2" w:rsidRDefault="00A97587" w:rsidP="002C7D0F">
            <w:pPr>
              <w:pStyle w:val="a0"/>
            </w:pPr>
            <w:r w:rsidRPr="003F52C2">
              <w:t xml:space="preserve">Анализ плевральной жидкости: транссудат (плотность менее 1015), реакция Ривальта отрицательная, содержание белка менее 20 г/л, активность ЛДГ менее 1,6 ммоль/л.х.ч.; </w:t>
            </w:r>
          </w:p>
          <w:p w:rsidR="00A97587" w:rsidRPr="003F52C2" w:rsidRDefault="00A97587" w:rsidP="002C7D0F">
            <w:pPr>
              <w:pStyle w:val="a0"/>
            </w:pPr>
            <w:r w:rsidRPr="003F52C2">
              <w:t>отсутствие МБТ и ДНК МБТ в выпоте;</w:t>
            </w:r>
          </w:p>
          <w:p w:rsidR="00A97587" w:rsidRPr="003F52C2" w:rsidRDefault="00A97587" w:rsidP="002C7D0F">
            <w:pPr>
              <w:pStyle w:val="a0"/>
            </w:pPr>
            <w:r w:rsidRPr="003F52C2">
              <w:t>результаты исследований  ЭКГ, эхо-КГ, УЗИ органов брюшной полости, почек. КТ ОГК; отрицательные Диаскинтест и проба Манту.</w:t>
            </w:r>
          </w:p>
        </w:tc>
        <w:tc>
          <w:tcPr>
            <w:tcW w:w="4620" w:type="dxa"/>
          </w:tcPr>
          <w:p w:rsidR="00A97587" w:rsidRPr="003F52C2" w:rsidRDefault="00A97587" w:rsidP="002C7D0F">
            <w:pPr>
              <w:pStyle w:val="a0"/>
            </w:pPr>
            <w:r w:rsidRPr="003F52C2">
              <w:t xml:space="preserve">Анализ плевральной жидкости:  экссудат плотность более 1015, реакция Ривальта положительная, содержание белка более 30 г/л, активность ЛДГ более 1,6 ммоль/л.х.ч.; </w:t>
            </w:r>
          </w:p>
          <w:p w:rsidR="00A97587" w:rsidRPr="003F52C2" w:rsidRDefault="00A97587" w:rsidP="002C7D0F">
            <w:pPr>
              <w:pStyle w:val="a0"/>
            </w:pPr>
            <w:r w:rsidRPr="003F52C2">
              <w:t>обнаружение МБТ и/или ДНК МБТ в выпоте, положительные Диаскинтест и проба Манту.</w:t>
            </w:r>
          </w:p>
        </w:tc>
      </w:tr>
      <w:tr w:rsidR="00A97587" w:rsidRPr="003F52C2" w:rsidTr="002C7D0F">
        <w:trPr>
          <w:trHeight w:val="20"/>
        </w:trPr>
        <w:tc>
          <w:tcPr>
            <w:tcW w:w="2088" w:type="dxa"/>
          </w:tcPr>
          <w:p w:rsidR="00A97587" w:rsidRPr="003F52C2" w:rsidRDefault="00A97587" w:rsidP="002C7D0F">
            <w:pPr>
              <w:pStyle w:val="a0"/>
            </w:pPr>
          </w:p>
        </w:tc>
        <w:tc>
          <w:tcPr>
            <w:tcW w:w="2640" w:type="dxa"/>
          </w:tcPr>
          <w:p w:rsidR="00A97587" w:rsidRPr="003F52C2" w:rsidRDefault="00A97587" w:rsidP="002C7D0F">
            <w:pPr>
              <w:pStyle w:val="a0"/>
            </w:pPr>
            <w:r w:rsidRPr="003F52C2">
              <w:t>Мезотелиома  плевры</w:t>
            </w:r>
          </w:p>
        </w:tc>
        <w:tc>
          <w:tcPr>
            <w:tcW w:w="5390" w:type="dxa"/>
          </w:tcPr>
          <w:p w:rsidR="00A97587" w:rsidRPr="003F52C2" w:rsidRDefault="00A97587" w:rsidP="002C7D0F">
            <w:pPr>
              <w:pStyle w:val="a0"/>
            </w:pPr>
            <w:r w:rsidRPr="003F52C2">
              <w:t>Отсутствие МБТ и ДНК МБТ в мокроте; отрицательные Диаскинтест и проба Манту;</w:t>
            </w:r>
          </w:p>
          <w:p w:rsidR="00A97587" w:rsidRPr="003F52C2" w:rsidRDefault="00A97587" w:rsidP="002C7D0F">
            <w:pPr>
              <w:pStyle w:val="a0"/>
            </w:pPr>
            <w:r w:rsidRPr="003F52C2">
              <w:t>результаты цитологического и гистологического исследования материала биопсии плевры</w:t>
            </w:r>
          </w:p>
        </w:tc>
        <w:tc>
          <w:tcPr>
            <w:tcW w:w="4620" w:type="dxa"/>
          </w:tcPr>
          <w:p w:rsidR="00A97587" w:rsidRPr="003F52C2" w:rsidRDefault="00A97587" w:rsidP="002C7D0F">
            <w:pPr>
              <w:pStyle w:val="a0"/>
            </w:pPr>
            <w:r w:rsidRPr="003F52C2">
              <w:t xml:space="preserve">Обнаружение  МБТ и/или ДНК МБТ в выпоте; </w:t>
            </w:r>
          </w:p>
          <w:p w:rsidR="00A97587" w:rsidRPr="003F52C2" w:rsidRDefault="00A97587" w:rsidP="002C7D0F">
            <w:pPr>
              <w:pStyle w:val="a0"/>
            </w:pPr>
            <w:r w:rsidRPr="003F52C2">
              <w:t>положительные Диаскинтест и проба Манту;</w:t>
            </w:r>
          </w:p>
          <w:p w:rsidR="00A97587" w:rsidRPr="003F52C2" w:rsidRDefault="00A97587" w:rsidP="002C7D0F">
            <w:pPr>
              <w:pStyle w:val="a0"/>
            </w:pPr>
            <w:r w:rsidRPr="003F52C2">
              <w:t>результаты цитологического и гистологического исследования материала биопсии плевры.</w:t>
            </w:r>
          </w:p>
        </w:tc>
      </w:tr>
    </w:tbl>
    <w:p w:rsidR="00A97587" w:rsidRDefault="00A97587" w:rsidP="000B4017">
      <w:pPr>
        <w:ind w:left="1080"/>
        <w:sectPr w:rsidR="00A97587" w:rsidSect="002C7D0F">
          <w:pgSz w:w="16838" w:h="11906" w:orient="landscape"/>
          <w:pgMar w:top="1701" w:right="1134" w:bottom="851" w:left="1134" w:header="709" w:footer="709" w:gutter="0"/>
          <w:cols w:space="708"/>
          <w:docGrid w:linePitch="360"/>
        </w:sectPr>
      </w:pPr>
    </w:p>
    <w:p w:rsidR="00A97587" w:rsidRPr="004D6B46" w:rsidRDefault="00A97587" w:rsidP="000B4017">
      <w:pPr>
        <w:pStyle w:val="Heading1"/>
        <w:numPr>
          <w:ilvl w:val="0"/>
          <w:numId w:val="16"/>
        </w:numPr>
        <w:ind w:left="0" w:firstLine="0"/>
      </w:pPr>
      <w:bookmarkStart w:id="49" w:name="_Toc373846946"/>
      <w:bookmarkStart w:id="50" w:name="_Toc373847362"/>
      <w:bookmarkStart w:id="51" w:name="_Toc373847444"/>
      <w:bookmarkStart w:id="52" w:name="_Toc373847498"/>
      <w:bookmarkStart w:id="53" w:name="_Toc373847363"/>
      <w:bookmarkStart w:id="54" w:name="_Toc374016062"/>
      <w:bookmarkEnd w:id="49"/>
      <w:bookmarkEnd w:id="50"/>
      <w:bookmarkEnd w:id="51"/>
      <w:bookmarkEnd w:id="52"/>
      <w:r w:rsidRPr="004D6B46">
        <w:t>Лечение туберкулеза органов дыхания</w:t>
      </w:r>
      <w:bookmarkEnd w:id="53"/>
      <w:bookmarkEnd w:id="54"/>
    </w:p>
    <w:p w:rsidR="00A97587" w:rsidRPr="00192261" w:rsidRDefault="00A97587" w:rsidP="000B4017">
      <w:pPr>
        <w:pStyle w:val="BodyText"/>
        <w:rPr>
          <w:lang w:val="ru-RU"/>
        </w:rPr>
      </w:pPr>
      <w:r w:rsidRPr="00192261">
        <w:rPr>
          <w:lang w:val="ru-RU"/>
        </w:rPr>
        <w:t xml:space="preserve">Целью лечения больных туберкулезом является не только их излечение (ликвидация клинических проявлений болезни, стойкое прекращение бактериовыделения, стойкое заживление туберкулезных изменений, восстановление трудоспособности), но и предупреждение передачи возбудителя туберкулеза, предотвращение летальных исходов и тяжелых осложнений, а также предупреждение развития лекарственной резистентности МБТ. </w:t>
      </w:r>
    </w:p>
    <w:p w:rsidR="00A97587" w:rsidRPr="00192261" w:rsidRDefault="00A97587" w:rsidP="000B4017">
      <w:pPr>
        <w:pStyle w:val="BodyText"/>
        <w:rPr>
          <w:lang w:val="ru-RU"/>
        </w:rPr>
      </w:pPr>
      <w:r w:rsidRPr="00192261">
        <w:rPr>
          <w:lang w:val="ru-RU"/>
        </w:rPr>
        <w:t>Добиться поставленных целей лечения можно только при соблюдении следующих принципов: своевременное начало лечения, применение комплекса лечебных мероприятий в течение длительного времени, использование рациональных организационных форм лечения, удобных для больного, преемственность лечения на разных этапах, строгая контролируемость лечения.</w:t>
      </w:r>
    </w:p>
    <w:p w:rsidR="00A97587" w:rsidRPr="00192261" w:rsidRDefault="00A97587" w:rsidP="000B4017">
      <w:pPr>
        <w:pStyle w:val="BodyText"/>
        <w:rPr>
          <w:lang w:val="ru-RU"/>
        </w:rPr>
      </w:pPr>
      <w:r w:rsidRPr="00192261">
        <w:rPr>
          <w:lang w:val="ru-RU"/>
        </w:rPr>
        <w:t>Приоритетным подходом к составлению режима терапии является использование ускоренных молекулярно-генетических и/или культуральных методов определения лекарственной чувствительности МБТ, зарегистрированных в установленном порядке в РФ.</w:t>
      </w:r>
    </w:p>
    <w:p w:rsidR="00A97587" w:rsidRPr="00192261" w:rsidRDefault="00A97587" w:rsidP="000B4017">
      <w:pPr>
        <w:pStyle w:val="BodyText"/>
        <w:rPr>
          <w:lang w:val="ru-RU"/>
        </w:rPr>
      </w:pPr>
      <w:r w:rsidRPr="00192261">
        <w:rPr>
          <w:lang w:val="ru-RU"/>
        </w:rPr>
        <w:t>Лечение больных туберкулезом проводят комплексно. Оно включает гигиено-диетический режим, химиотерапию (этиотропную противотуберкулезную терапию), патогенетическую терапию, коллапсотерапию (искусственный пневмоторакс и пневмоперитонеум), хирургическое лечение, а также лечение осложнений и сопутствующих заболеваний. При этом основным компонентом комплекса является этиотропная противотуберкулезная химиотерапия.</w:t>
      </w:r>
    </w:p>
    <w:p w:rsidR="00A97587" w:rsidRPr="00192261" w:rsidRDefault="00A97587" w:rsidP="000B4017">
      <w:pPr>
        <w:pStyle w:val="BodyText"/>
        <w:rPr>
          <w:b/>
          <w:lang w:val="ru-RU"/>
        </w:rPr>
      </w:pPr>
      <w:r w:rsidRPr="00192261">
        <w:rPr>
          <w:b/>
          <w:lang w:val="ru-RU"/>
        </w:rPr>
        <w:t>Диетические рекомендации</w:t>
      </w:r>
    </w:p>
    <w:p w:rsidR="00A97587" w:rsidRPr="004D6B46" w:rsidRDefault="00A97587" w:rsidP="006F1223">
      <w:pPr>
        <w:pStyle w:val="BodyText"/>
        <w:spacing w:before="0"/>
      </w:pPr>
      <w:r w:rsidRPr="004D6B46">
        <w:t xml:space="preserve">Химический  состав  диеты: </w:t>
      </w:r>
    </w:p>
    <w:p w:rsidR="00A97587" w:rsidRPr="004D6B46" w:rsidRDefault="00A97587" w:rsidP="000B4017">
      <w:pPr>
        <w:pStyle w:val="ListBullet"/>
        <w:numPr>
          <w:ilvl w:val="0"/>
          <w:numId w:val="17"/>
        </w:numPr>
      </w:pPr>
      <w:r w:rsidRPr="004D6B46">
        <w:t>Белки 120-150 г (в основном животного происхождения)</w:t>
      </w:r>
    </w:p>
    <w:p w:rsidR="00A97587" w:rsidRPr="004D6B46" w:rsidRDefault="00A97587" w:rsidP="000B4017">
      <w:pPr>
        <w:pStyle w:val="ListBullet"/>
        <w:numPr>
          <w:ilvl w:val="0"/>
          <w:numId w:val="17"/>
        </w:numPr>
      </w:pPr>
      <w:r w:rsidRPr="004D6B46">
        <w:t>Жиры до 120 г</w:t>
      </w:r>
    </w:p>
    <w:p w:rsidR="00A97587" w:rsidRPr="004D6B46" w:rsidRDefault="00A97587" w:rsidP="000B4017">
      <w:pPr>
        <w:pStyle w:val="ListBullet"/>
        <w:numPr>
          <w:ilvl w:val="0"/>
          <w:numId w:val="17"/>
        </w:numPr>
      </w:pPr>
      <w:r w:rsidRPr="004D6B46">
        <w:t xml:space="preserve">Углеводы от 300-500 г - Кальций 2-3 г - Фосфор 3-6 г </w:t>
      </w:r>
    </w:p>
    <w:p w:rsidR="00A97587" w:rsidRPr="004D6B46" w:rsidRDefault="00A97587" w:rsidP="000B4017">
      <w:pPr>
        <w:pStyle w:val="ListBullet"/>
        <w:numPr>
          <w:ilvl w:val="0"/>
          <w:numId w:val="17"/>
        </w:numPr>
      </w:pPr>
      <w:r w:rsidRPr="004D6B46">
        <w:t>Соль (15 г/сут, при экссудативных процессах 3—5 г/сут);</w:t>
      </w:r>
    </w:p>
    <w:p w:rsidR="00A97587" w:rsidRPr="004D6B46" w:rsidRDefault="00A97587" w:rsidP="000B4017">
      <w:pPr>
        <w:pStyle w:val="ListBullet"/>
        <w:numPr>
          <w:ilvl w:val="0"/>
          <w:numId w:val="17"/>
        </w:numPr>
      </w:pPr>
      <w:r w:rsidRPr="004D6B46">
        <w:t>Витамины (50% животного и растительного происхождения).</w:t>
      </w:r>
    </w:p>
    <w:p w:rsidR="00A97587" w:rsidRPr="004D6B46" w:rsidRDefault="00A97587" w:rsidP="006F1223">
      <w:pPr>
        <w:pStyle w:val="BodyText"/>
        <w:spacing w:before="0"/>
      </w:pPr>
      <w:r w:rsidRPr="004D6B46">
        <w:t xml:space="preserve">Энергетическая ценность питания –     </w:t>
      </w:r>
    </w:p>
    <w:p w:rsidR="00A97587" w:rsidRPr="004D6B46" w:rsidRDefault="00A97587" w:rsidP="000B4017">
      <w:pPr>
        <w:pStyle w:val="ListBullet"/>
        <w:numPr>
          <w:ilvl w:val="0"/>
          <w:numId w:val="17"/>
        </w:numPr>
      </w:pPr>
      <w:r w:rsidRPr="004D6B46">
        <w:t xml:space="preserve">при строгом постельном режиме и режиме относительного покоя 2880—3000 ккал/сут, </w:t>
      </w:r>
    </w:p>
    <w:p w:rsidR="00A97587" w:rsidRPr="004D6B46" w:rsidRDefault="00A97587" w:rsidP="000B4017">
      <w:pPr>
        <w:pStyle w:val="ListBullet"/>
        <w:numPr>
          <w:ilvl w:val="0"/>
          <w:numId w:val="17"/>
        </w:numPr>
      </w:pPr>
      <w:r w:rsidRPr="004D6B46">
        <w:t>при обычном  режиме — 3500—4000 ккал/сут.</w:t>
      </w:r>
    </w:p>
    <w:p w:rsidR="00A97587" w:rsidRDefault="00A97587" w:rsidP="000B4017">
      <w:pPr>
        <w:pStyle w:val="BodyText"/>
        <w:rPr>
          <w:lang w:val="ru-RU"/>
        </w:rPr>
      </w:pPr>
      <w:r w:rsidRPr="00192261">
        <w:rPr>
          <w:lang w:val="ru-RU"/>
        </w:rPr>
        <w:t xml:space="preserve">При снижении индекса массы тела ниже 18,5  необходимо применять дополнительное белковое питание (НУТРИЭН ФТИЗИО, Нутриола, Нутриция) </w:t>
      </w:r>
    </w:p>
    <w:p w:rsidR="00A97587" w:rsidRPr="00192261" w:rsidRDefault="00A97587" w:rsidP="000B4017">
      <w:pPr>
        <w:pStyle w:val="BodyText"/>
        <w:rPr>
          <w:b/>
          <w:lang w:val="ru-RU"/>
        </w:rPr>
      </w:pPr>
      <w:r w:rsidRPr="00192261">
        <w:rPr>
          <w:b/>
          <w:lang w:val="ru-RU"/>
        </w:rPr>
        <w:t>Химиотерапия является основным компонентом лечения туберкулеза</w:t>
      </w:r>
      <w:r w:rsidRPr="00192261">
        <w:rPr>
          <w:lang w:val="ru-RU"/>
        </w:rPr>
        <w:t xml:space="preserve"> и заключается в длительном применении оптимальной комбинации лекарственных препаратов, подавляющих размножение микобактерий туберкулеза (бактериостатический эффект) или уничтожающих их в организме больного (бактерицидный эффект). Химиотерапия должна быть начата в возможно ранние сроки после установления и верификации диагноза.</w:t>
      </w:r>
    </w:p>
    <w:p w:rsidR="00A97587" w:rsidRPr="00192261" w:rsidRDefault="00A97587" w:rsidP="000B4017">
      <w:pPr>
        <w:pStyle w:val="BodyText"/>
        <w:rPr>
          <w:lang w:val="ru-RU"/>
        </w:rPr>
      </w:pPr>
      <w:r w:rsidRPr="00192261">
        <w:rPr>
          <w:lang w:val="ru-RU"/>
        </w:rPr>
        <w:t>Критериями эффективности лечения больных туберкулезом являются:</w:t>
      </w:r>
    </w:p>
    <w:p w:rsidR="00A97587" w:rsidRPr="004D6B46" w:rsidRDefault="00A97587" w:rsidP="000B4017">
      <w:pPr>
        <w:pStyle w:val="ListBullet"/>
        <w:numPr>
          <w:ilvl w:val="0"/>
          <w:numId w:val="17"/>
        </w:numPr>
      </w:pPr>
      <w:r w:rsidRPr="004D6B46">
        <w:t>исчезновение клинических и лабораторных признаков туберкулезного воспаления;</w:t>
      </w:r>
    </w:p>
    <w:p w:rsidR="00A97587" w:rsidRPr="004D6B46" w:rsidRDefault="00A97587" w:rsidP="000B4017">
      <w:pPr>
        <w:pStyle w:val="ListBullet"/>
        <w:numPr>
          <w:ilvl w:val="0"/>
          <w:numId w:val="17"/>
        </w:numPr>
      </w:pPr>
      <w:r w:rsidRPr="004D6B46">
        <w:t>стойкое прекращение бактериовыделения, подтвержденное микроскопическим и культуральным исследованиями;</w:t>
      </w:r>
    </w:p>
    <w:p w:rsidR="00A97587" w:rsidRPr="004D6B46" w:rsidRDefault="00A97587" w:rsidP="000B4017">
      <w:pPr>
        <w:pStyle w:val="ListBullet"/>
        <w:numPr>
          <w:ilvl w:val="0"/>
          <w:numId w:val="17"/>
        </w:numPr>
      </w:pPr>
      <w:r w:rsidRPr="004D6B46">
        <w:t>регресс проявлений туберкулеза (очаговых, инфильтративных, деструктивных), оцененных комплексом лучевых и специальных инструментальных (аппаратных) методов, специфичных для конкретного пораженного органа(системы);</w:t>
      </w:r>
    </w:p>
    <w:p w:rsidR="00A97587" w:rsidRPr="004D6B46" w:rsidRDefault="00A97587" w:rsidP="000B4017">
      <w:pPr>
        <w:pStyle w:val="ListBullet"/>
        <w:numPr>
          <w:ilvl w:val="0"/>
          <w:numId w:val="17"/>
        </w:numPr>
      </w:pPr>
      <w:r w:rsidRPr="004D6B46">
        <w:t>восстановление функциональных возможностей и трудоспособности.</w:t>
      </w:r>
    </w:p>
    <w:p w:rsidR="00A97587" w:rsidRPr="004D6B46" w:rsidRDefault="00A97587" w:rsidP="00136C1B">
      <w:pPr>
        <w:pStyle w:val="Heading2"/>
        <w:numPr>
          <w:ilvl w:val="1"/>
          <w:numId w:val="16"/>
        </w:numPr>
        <w:ind w:left="0" w:firstLine="0"/>
      </w:pPr>
      <w:bookmarkStart w:id="55" w:name="_Toc373846948"/>
      <w:bookmarkStart w:id="56" w:name="_Toc373847364"/>
      <w:bookmarkStart w:id="57" w:name="_Toc373847446"/>
      <w:bookmarkStart w:id="58" w:name="_Toc373847500"/>
      <w:bookmarkStart w:id="59" w:name="_Toc373847365"/>
      <w:bookmarkStart w:id="60" w:name="_Toc374016063"/>
      <w:bookmarkEnd w:id="55"/>
      <w:bookmarkEnd w:id="56"/>
      <w:bookmarkEnd w:id="57"/>
      <w:bookmarkEnd w:id="58"/>
      <w:r w:rsidRPr="004D6B46">
        <w:t>Режимы химиотерапии туберкулеза</w:t>
      </w:r>
      <w:bookmarkEnd w:id="59"/>
      <w:bookmarkEnd w:id="60"/>
    </w:p>
    <w:p w:rsidR="00A97587" w:rsidRPr="00192261" w:rsidRDefault="00A97587" w:rsidP="000B4017">
      <w:pPr>
        <w:pStyle w:val="BodyText"/>
        <w:rPr>
          <w:b/>
          <w:lang w:val="ru-RU"/>
        </w:rPr>
      </w:pPr>
      <w:r w:rsidRPr="00192261">
        <w:rPr>
          <w:lang w:val="ru-RU"/>
        </w:rPr>
        <w:t xml:space="preserve">Режим химиотерапии включает комбинацию противотуберкулезных </w:t>
      </w:r>
      <w:r w:rsidRPr="00192261">
        <w:rPr>
          <w:spacing w:val="-3"/>
          <w:lang w:val="ru-RU"/>
        </w:rPr>
        <w:t xml:space="preserve">препаратов, длительность и </w:t>
      </w:r>
      <w:r w:rsidRPr="00192261">
        <w:rPr>
          <w:lang w:val="ru-RU"/>
        </w:rPr>
        <w:t>кратность</w:t>
      </w:r>
      <w:r w:rsidRPr="00192261">
        <w:rPr>
          <w:spacing w:val="-3"/>
          <w:lang w:val="ru-RU"/>
        </w:rPr>
        <w:t xml:space="preserve"> их приема, сроки и содержание контрольных</w:t>
      </w:r>
      <w:r w:rsidRPr="00192261">
        <w:rPr>
          <w:lang w:val="ru-RU"/>
        </w:rPr>
        <w:t xml:space="preserve"> исследований, а также организационные формы проведения лечения.</w:t>
      </w:r>
    </w:p>
    <w:p w:rsidR="00A97587" w:rsidRPr="00192261" w:rsidRDefault="00A97587" w:rsidP="000B4017">
      <w:pPr>
        <w:pStyle w:val="BodyText"/>
        <w:rPr>
          <w:bCs/>
          <w:lang w:val="ru-RU"/>
        </w:rPr>
      </w:pPr>
      <w:r w:rsidRPr="00192261">
        <w:rPr>
          <w:b/>
          <w:lang w:val="ru-RU"/>
        </w:rPr>
        <w:t>Режим химиотерапии определяется в соответствии с результатами теста лекарственной чувствительности</w:t>
      </w:r>
      <w:r w:rsidRPr="00192261">
        <w:rPr>
          <w:lang w:val="ru-RU"/>
        </w:rPr>
        <w:t xml:space="preserve"> (ТЛЧ) микобактерий туберкулеза, выделенных из патологического материала больного. </w:t>
      </w:r>
    </w:p>
    <w:p w:rsidR="00A97587" w:rsidRPr="00192261" w:rsidRDefault="00A97587" w:rsidP="00DA0688">
      <w:pPr>
        <w:pStyle w:val="BodyText"/>
        <w:rPr>
          <w:lang w:val="ru-RU"/>
        </w:rPr>
      </w:pPr>
      <w:r w:rsidRPr="00192261">
        <w:rPr>
          <w:lang w:val="ru-RU"/>
        </w:rPr>
        <w:t xml:space="preserve">Если наличие лекарственной устойчивости, полученной ускоренными методами ПЦР-диагностики, в последующем не подтверждается посевами, то при дальнейшем назначении ПТП учитываются данные ТЛЧ, полученные </w:t>
      </w:r>
      <w:r>
        <w:rPr>
          <w:lang w:val="ru-RU"/>
        </w:rPr>
        <w:t>микробиологическими методами</w:t>
      </w:r>
      <w:r w:rsidRPr="00192261">
        <w:rPr>
          <w:lang w:val="ru-RU"/>
        </w:rPr>
        <w:t>.</w:t>
      </w:r>
    </w:p>
    <w:p w:rsidR="00A97587" w:rsidRPr="00192261" w:rsidRDefault="00A97587" w:rsidP="00DA0688">
      <w:pPr>
        <w:pStyle w:val="BodyText"/>
        <w:rPr>
          <w:lang w:val="ru-RU"/>
        </w:rPr>
      </w:pPr>
      <w:r w:rsidRPr="00192261">
        <w:rPr>
          <w:lang w:val="ru-RU"/>
        </w:rPr>
        <w:t xml:space="preserve">Если наличие ЛУ, полученной молекулярно-генетическими методами, в последующем не подтверждается </w:t>
      </w:r>
      <w:r>
        <w:rPr>
          <w:lang w:val="ru-RU"/>
        </w:rPr>
        <w:t>микробиологическими методами</w:t>
      </w:r>
      <w:r w:rsidRPr="00192261">
        <w:rPr>
          <w:lang w:val="ru-RU"/>
        </w:rPr>
        <w:t xml:space="preserve"> вследствие того, что не получено роста МБТ, учитываются данные, полученные ускоренными методами.</w:t>
      </w:r>
    </w:p>
    <w:p w:rsidR="00A97587" w:rsidRPr="00192261" w:rsidRDefault="00A97587" w:rsidP="000B4017">
      <w:pPr>
        <w:pStyle w:val="BodyText"/>
        <w:rPr>
          <w:b/>
          <w:lang w:val="ru-RU"/>
        </w:rPr>
      </w:pPr>
      <w:r w:rsidRPr="00192261">
        <w:rPr>
          <w:b/>
          <w:bCs/>
          <w:lang w:val="ru-RU"/>
        </w:rPr>
        <w:t>Химиотерапия проводится в 2 фазы</w:t>
      </w:r>
      <w:r w:rsidRPr="00192261">
        <w:rPr>
          <w:bCs/>
          <w:lang w:val="ru-RU"/>
        </w:rPr>
        <w:t xml:space="preserve">: фазу </w:t>
      </w:r>
      <w:r w:rsidRPr="00192261">
        <w:rPr>
          <w:lang w:val="ru-RU"/>
        </w:rPr>
        <w:t>интенсивной</w:t>
      </w:r>
      <w:r w:rsidRPr="00192261">
        <w:rPr>
          <w:bCs/>
          <w:lang w:val="ru-RU"/>
        </w:rPr>
        <w:t xml:space="preserve"> терапии и фазу продолжения лечения</w:t>
      </w:r>
      <w:r w:rsidRPr="00192261">
        <w:rPr>
          <w:b/>
          <w:lang w:val="ru-RU"/>
        </w:rPr>
        <w:t>.</w:t>
      </w:r>
    </w:p>
    <w:p w:rsidR="00A97587" w:rsidRPr="00192261" w:rsidRDefault="00A97587" w:rsidP="000B4017">
      <w:pPr>
        <w:pStyle w:val="BodyText"/>
        <w:rPr>
          <w:lang w:val="ru-RU"/>
        </w:rPr>
      </w:pPr>
      <w:r w:rsidRPr="00192261">
        <w:rPr>
          <w:b/>
          <w:lang w:val="ru-RU"/>
        </w:rPr>
        <w:t>Фаза интенсивной терапии</w:t>
      </w:r>
      <w:r w:rsidRPr="00192261">
        <w:rPr>
          <w:lang w:val="ru-RU"/>
        </w:rPr>
        <w:t xml:space="preserve"> направлена на ликвидацию клинических проявлений заболевания, максимальное воздействие на популяцию микобактерий туберкулеза с целью прекращения бактериовыделения и предотвращения развития лекарственной устойчивости, уменьшение инфильтративных и деструктивных изменений в органах. Фаза интенсивной терапии может быть составляющей частью подготовки к хирургической операции. </w:t>
      </w:r>
    </w:p>
    <w:p w:rsidR="00A97587" w:rsidRPr="00192261" w:rsidRDefault="00A97587" w:rsidP="000B4017">
      <w:pPr>
        <w:pStyle w:val="BodyText"/>
        <w:rPr>
          <w:lang w:val="ru-RU"/>
        </w:rPr>
      </w:pPr>
      <w:r w:rsidRPr="00192261">
        <w:rPr>
          <w:b/>
          <w:lang w:val="ru-RU"/>
        </w:rPr>
        <w:t xml:space="preserve">Фаза продолжения терапии </w:t>
      </w:r>
      <w:r w:rsidRPr="00192261">
        <w:rPr>
          <w:lang w:val="ru-RU"/>
        </w:rPr>
        <w:t>направлена на подавление сохраняющейся микобактериальной популяции. Она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пациента.</w:t>
      </w:r>
    </w:p>
    <w:p w:rsidR="00A97587" w:rsidRPr="00192261" w:rsidRDefault="00A97587" w:rsidP="000B4017">
      <w:pPr>
        <w:pStyle w:val="BodyText"/>
        <w:rPr>
          <w:lang w:val="ru-RU"/>
        </w:rPr>
      </w:pPr>
      <w:r w:rsidRPr="00192261">
        <w:rPr>
          <w:b/>
          <w:lang w:val="ru-RU"/>
        </w:rPr>
        <w:t>Препараты, применяемые в лечении туберкулеза</w:t>
      </w:r>
      <w:r w:rsidRPr="00192261">
        <w:rPr>
          <w:lang w:val="ru-RU"/>
        </w:rPr>
        <w:t xml:space="preserve">, подразделяются на: </w:t>
      </w:r>
    </w:p>
    <w:p w:rsidR="00A97587" w:rsidRPr="004D6B46" w:rsidRDefault="00A97587" w:rsidP="000B4017">
      <w:pPr>
        <w:pStyle w:val="ListBullet"/>
        <w:numPr>
          <w:ilvl w:val="0"/>
          <w:numId w:val="17"/>
        </w:numPr>
        <w:rPr>
          <w:b/>
        </w:rPr>
      </w:pPr>
      <w:r w:rsidRPr="004D6B46">
        <w:t xml:space="preserve">противотуберкулезные препараты 1-го ряда, основные (препараты выбора для лечения туберкулеза, вызванного лекарственно чувствительными микобактериями) - изониазид, рифампицин, рифабутин, пиразинамид, этамбутол, стрептомицин; </w:t>
      </w:r>
    </w:p>
    <w:p w:rsidR="00A97587" w:rsidRPr="004D6B46" w:rsidRDefault="00A97587" w:rsidP="000B4017">
      <w:pPr>
        <w:pStyle w:val="ListBullet"/>
        <w:numPr>
          <w:ilvl w:val="0"/>
          <w:numId w:val="17"/>
        </w:numPr>
        <w:rPr>
          <w:b/>
        </w:rPr>
      </w:pPr>
      <w:r w:rsidRPr="004D6B46">
        <w:t>противотуберкулезные препараты 2-го ряда, резервные (препараты выбора для лечения туберкулеза с множественной и широкой лекарственной устойчивостью микобактерий) - канамицин, амикацин, капреомицин, левофлоксацин, моксифлоксацин, офлоксацин, протионамид, этионамид, циклосерин, теризидон, аминосалициловая кислота, а также лекарственные средства, эффективность которых доказана для лечения туберкулеза.</w:t>
      </w:r>
    </w:p>
    <w:p w:rsidR="00A97587" w:rsidRPr="00192261" w:rsidRDefault="00A97587" w:rsidP="000B4017">
      <w:pPr>
        <w:pStyle w:val="BodyText"/>
        <w:rPr>
          <w:lang w:val="ru-RU"/>
        </w:rPr>
      </w:pPr>
      <w:r w:rsidRPr="00192261">
        <w:rPr>
          <w:lang w:val="ru-RU"/>
        </w:rPr>
        <w:t>Резервные лекарственные средства назначаются после положительного решения врачебной комиссии противотуберкулезного учреждения;</w:t>
      </w:r>
    </w:p>
    <w:p w:rsidR="00A97587" w:rsidRPr="00192261" w:rsidRDefault="00A97587" w:rsidP="000B4017">
      <w:pPr>
        <w:pStyle w:val="BodyText"/>
        <w:rPr>
          <w:lang w:val="ru-RU"/>
        </w:rPr>
      </w:pPr>
      <w:r w:rsidRPr="00192261">
        <w:rPr>
          <w:b/>
          <w:lang w:val="ru-RU"/>
        </w:rPr>
        <w:t>Лекарственные средства, эффективность которых для лечения туберкулеза не доказана, но имеются рекомендации экспертов для лечении больных с широкой лекарственной устойчивостью туберкулеза (ШЛУ-ТБ),</w:t>
      </w:r>
      <w:r w:rsidRPr="00192261">
        <w:rPr>
          <w:lang w:val="ru-RU"/>
        </w:rPr>
        <w:t xml:space="preserve">  назначаются по решению врачебной комиссии научно-исследовательского института туберкулезного профиля или противотуберкулезного учреждения, которому </w:t>
      </w:r>
      <w:r w:rsidRPr="00192261">
        <w:rPr>
          <w:spacing w:val="-5"/>
          <w:lang w:val="ru-RU"/>
        </w:rPr>
        <w:t>вменено осуществление функций управления, контроля и мониторинга за всем комплексом противотуберкулезных мероприятий в субъекте Российской Федерации.</w:t>
      </w:r>
    </w:p>
    <w:p w:rsidR="00A97587" w:rsidRPr="00192261" w:rsidRDefault="00A97587" w:rsidP="000B4017">
      <w:pPr>
        <w:pStyle w:val="BodyText"/>
        <w:rPr>
          <w:lang w:val="ru-RU"/>
        </w:rPr>
      </w:pPr>
      <w:r w:rsidRPr="00192261">
        <w:rPr>
          <w:lang w:val="ru-RU"/>
        </w:rPr>
        <w:t>Мутации, вызывающие устойчивость к одному препарату, могут также вызвать устойчивость к некоторым или ко всем препаратам данной группы, и даже, что более редко, к препаратам из других групп. Например, устойчивость к аминогликозиду канамицину с высокой степенью вероятности означает наличие перекрестной устойчивости к амикацину. С другой стороны, перекрестная устойчивость между аминогликозидами канамицином и стрептомицином обычно низкая. Кроме того, выделенные у больных штаммы МБТ, устойчивые к высоким дозам канамицина, могут обладать устойчивостью к не являющемуся аминогликозидом капреомицину.</w:t>
      </w:r>
    </w:p>
    <w:p w:rsidR="00A97587" w:rsidRPr="004D6B46" w:rsidRDefault="00A97587" w:rsidP="000B4017">
      <w:pPr>
        <w:spacing w:after="0" w:line="240" w:lineRule="auto"/>
        <w:jc w:val="both"/>
        <w:rPr>
          <w:sz w:val="24"/>
          <w:szCs w:val="24"/>
        </w:rPr>
      </w:pPr>
    </w:p>
    <w:p w:rsidR="00A97587" w:rsidRDefault="00A97587" w:rsidP="000B4017">
      <w:pPr>
        <w:spacing w:after="0" w:line="240" w:lineRule="auto"/>
        <w:jc w:val="right"/>
        <w:rPr>
          <w:b/>
        </w:rPr>
      </w:pPr>
      <w:r w:rsidRPr="004D6B46">
        <w:rPr>
          <w:b/>
          <w:sz w:val="24"/>
          <w:szCs w:val="24"/>
        </w:rPr>
        <w:t>Таблица</w:t>
      </w:r>
      <w:r w:rsidRPr="003545E9">
        <w:rPr>
          <w:b/>
        </w:rPr>
        <w:t xml:space="preserve"> 4</w:t>
      </w:r>
    </w:p>
    <w:p w:rsidR="00A97587" w:rsidRPr="003545E9" w:rsidRDefault="00A97587" w:rsidP="000B4017">
      <w:pPr>
        <w:spacing w:after="0" w:line="240" w:lineRule="auto"/>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0"/>
        <w:gridCol w:w="7150"/>
      </w:tblGrid>
      <w:tr w:rsidR="00A97587" w:rsidRPr="00192261" w:rsidTr="002C7D0F">
        <w:tc>
          <w:tcPr>
            <w:tcW w:w="2420" w:type="dxa"/>
          </w:tcPr>
          <w:p w:rsidR="00A97587" w:rsidRPr="008E5C0A" w:rsidRDefault="00A97587" w:rsidP="008E5C0A">
            <w:pPr>
              <w:spacing w:after="0" w:line="240" w:lineRule="auto"/>
              <w:jc w:val="center"/>
              <w:rPr>
                <w:rFonts w:ascii="Times New Roman" w:hAnsi="Times New Roman"/>
                <w:b/>
              </w:rPr>
            </w:pPr>
            <w:r w:rsidRPr="008E5C0A">
              <w:rPr>
                <w:rFonts w:ascii="Times New Roman" w:hAnsi="Times New Roman"/>
                <w:b/>
              </w:rPr>
              <w:t>Препараты</w:t>
            </w:r>
          </w:p>
        </w:tc>
        <w:tc>
          <w:tcPr>
            <w:tcW w:w="7150" w:type="dxa"/>
          </w:tcPr>
          <w:p w:rsidR="00A97587" w:rsidRPr="008E5C0A" w:rsidRDefault="00A97587" w:rsidP="008E5C0A">
            <w:pPr>
              <w:spacing w:after="0" w:line="240" w:lineRule="auto"/>
              <w:jc w:val="center"/>
              <w:rPr>
                <w:rFonts w:ascii="Times New Roman" w:hAnsi="Times New Roman"/>
                <w:b/>
              </w:rPr>
            </w:pPr>
            <w:r w:rsidRPr="008E5C0A">
              <w:rPr>
                <w:rFonts w:ascii="Times New Roman" w:hAnsi="Times New Roman"/>
                <w:b/>
              </w:rPr>
              <w:t>Перекрестная резистентность</w:t>
            </w:r>
          </w:p>
        </w:tc>
      </w:tr>
      <w:tr w:rsidR="00A97587" w:rsidRPr="00192261" w:rsidTr="008E5C0A">
        <w:tc>
          <w:tcPr>
            <w:tcW w:w="2420" w:type="dxa"/>
            <w:vAlign w:val="center"/>
          </w:tcPr>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Рифабутин</w:t>
            </w:r>
          </w:p>
        </w:tc>
        <w:tc>
          <w:tcPr>
            <w:tcW w:w="7150" w:type="dxa"/>
          </w:tcPr>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Рифампицин и рифабутин имеют высокую перекрестную резистентность</w:t>
            </w:r>
          </w:p>
        </w:tc>
      </w:tr>
      <w:tr w:rsidR="00A97587" w:rsidRPr="00192261" w:rsidTr="008E5C0A">
        <w:tc>
          <w:tcPr>
            <w:tcW w:w="2420" w:type="dxa"/>
            <w:vAlign w:val="center"/>
          </w:tcPr>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Тиоамиды</w:t>
            </w:r>
          </w:p>
        </w:tc>
        <w:tc>
          <w:tcPr>
            <w:tcW w:w="7150" w:type="dxa"/>
          </w:tcPr>
          <w:p w:rsidR="00A97587" w:rsidRPr="00192261" w:rsidRDefault="00A97587" w:rsidP="002C7D0F">
            <w:pPr>
              <w:pStyle w:val="Default"/>
              <w:rPr>
                <w:rFonts w:ascii="Times New Roman" w:eastAsia="Batang" w:hAnsi="Times New Roman"/>
                <w:sz w:val="22"/>
                <w:szCs w:val="22"/>
              </w:rPr>
            </w:pPr>
            <w:r w:rsidRPr="00192261">
              <w:rPr>
                <w:rFonts w:ascii="Times New Roman" w:eastAsia="Batang" w:hAnsi="Times New Roman"/>
                <w:sz w:val="22"/>
                <w:szCs w:val="22"/>
              </w:rPr>
              <w:t xml:space="preserve">Имеют 100% перекрестную резистентность. </w:t>
            </w:r>
          </w:p>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При устойчивости к изониазиду с мутацией в гене inhA возможна устойчивость к тиоамидам.</w:t>
            </w:r>
          </w:p>
        </w:tc>
      </w:tr>
      <w:tr w:rsidR="00A97587" w:rsidRPr="00192261" w:rsidTr="008E5C0A">
        <w:tc>
          <w:tcPr>
            <w:tcW w:w="2420" w:type="dxa"/>
            <w:vAlign w:val="center"/>
          </w:tcPr>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Аминогликозиды и полипептид</w:t>
            </w:r>
          </w:p>
        </w:tc>
        <w:tc>
          <w:tcPr>
            <w:tcW w:w="7150" w:type="dxa"/>
          </w:tcPr>
          <w:p w:rsidR="00A97587" w:rsidRPr="00192261" w:rsidRDefault="00A97587" w:rsidP="002C7D0F">
            <w:pPr>
              <w:pStyle w:val="Default"/>
              <w:rPr>
                <w:rFonts w:ascii="Times New Roman" w:eastAsia="Batang" w:hAnsi="Times New Roman"/>
                <w:sz w:val="22"/>
                <w:szCs w:val="22"/>
              </w:rPr>
            </w:pPr>
            <w:r w:rsidRPr="00192261">
              <w:rPr>
                <w:rFonts w:ascii="Times New Roman" w:eastAsia="Batang" w:hAnsi="Times New Roman"/>
                <w:sz w:val="22"/>
                <w:szCs w:val="22"/>
              </w:rPr>
              <w:t xml:space="preserve">Амикакцин и канамицин имеют высокую перекрестную резистентность </w:t>
            </w:r>
          </w:p>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Аминогликозиды и капреомицин имеют низкую перекрестную резистентность</w:t>
            </w:r>
          </w:p>
        </w:tc>
      </w:tr>
      <w:tr w:rsidR="00A97587" w:rsidRPr="00192261" w:rsidTr="008E5C0A">
        <w:tc>
          <w:tcPr>
            <w:tcW w:w="2420" w:type="dxa"/>
            <w:vAlign w:val="center"/>
          </w:tcPr>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Фторхинолоны</w:t>
            </w:r>
          </w:p>
        </w:tc>
        <w:tc>
          <w:tcPr>
            <w:tcW w:w="7150" w:type="dxa"/>
          </w:tcPr>
          <w:p w:rsidR="00A97587" w:rsidRPr="00192261" w:rsidRDefault="00A97587" w:rsidP="002C7D0F">
            <w:pPr>
              <w:spacing w:after="0" w:line="240" w:lineRule="auto"/>
              <w:jc w:val="both"/>
              <w:rPr>
                <w:rFonts w:ascii="Times New Roman" w:hAnsi="Times New Roman"/>
              </w:rPr>
            </w:pPr>
            <w:r w:rsidRPr="00192261">
              <w:rPr>
                <w:rFonts w:ascii="Times New Roman" w:hAnsi="Times New Roman"/>
              </w:rPr>
              <w:t>Имеют различную перекрестную резистентность внутри группы. В исследованиях in vitro доказано, что некоторые штаммы МБТ могут быть чувствительны к фторхинолонам последних генераций при устойчивости к офлоксацину.</w:t>
            </w:r>
          </w:p>
        </w:tc>
      </w:tr>
    </w:tbl>
    <w:p w:rsidR="00A97587" w:rsidRDefault="00A97587" w:rsidP="008E5C0A">
      <w:pPr>
        <w:spacing w:after="0" w:line="240" w:lineRule="auto"/>
        <w:jc w:val="right"/>
        <w:rPr>
          <w:b/>
        </w:rPr>
      </w:pPr>
    </w:p>
    <w:p w:rsidR="00A97587" w:rsidRPr="003F52C2" w:rsidRDefault="00A97587" w:rsidP="008E5C0A">
      <w:pPr>
        <w:spacing w:after="0" w:line="240" w:lineRule="auto"/>
        <w:jc w:val="right"/>
        <w:rPr>
          <w:b/>
        </w:rPr>
      </w:pPr>
      <w:r w:rsidRPr="003F52C2">
        <w:rPr>
          <w:b/>
        </w:rPr>
        <w:t xml:space="preserve">Таблица </w:t>
      </w:r>
      <w:r>
        <w:rPr>
          <w:b/>
        </w:rPr>
        <w:t>5</w:t>
      </w:r>
    </w:p>
    <w:p w:rsidR="00A97587" w:rsidRPr="003F52C2" w:rsidRDefault="00A97587" w:rsidP="000B4017">
      <w:pPr>
        <w:spacing w:line="240" w:lineRule="auto"/>
        <w:jc w:val="center"/>
        <w:rPr>
          <w:b/>
        </w:rPr>
      </w:pPr>
      <w:r w:rsidRPr="003F52C2">
        <w:rPr>
          <w:b/>
        </w:rPr>
        <w:t>Режимы химиотерапии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4127"/>
        <w:gridCol w:w="3756"/>
      </w:tblGrid>
      <w:tr w:rsidR="00A97587" w:rsidRPr="003F52C2" w:rsidTr="002C7D0F">
        <w:trPr>
          <w:trHeight w:val="195"/>
          <w:jc w:val="center"/>
        </w:trPr>
        <w:tc>
          <w:tcPr>
            <w:tcW w:w="1687" w:type="dxa"/>
            <w:vMerge w:val="restart"/>
          </w:tcPr>
          <w:p w:rsidR="00A97587" w:rsidRPr="00366589" w:rsidRDefault="00A97587" w:rsidP="002C7D0F">
            <w:pPr>
              <w:pStyle w:val="a0"/>
            </w:pPr>
            <w:r w:rsidRPr="00366589">
              <w:t>Режим</w:t>
            </w:r>
            <w:r w:rsidRPr="00366589">
              <w:rPr>
                <w:lang w:val="en-US"/>
              </w:rPr>
              <w:t xml:space="preserve"> (</w:t>
            </w:r>
            <w:r w:rsidRPr="00366589">
              <w:t>сила рекомендаций)</w:t>
            </w:r>
          </w:p>
        </w:tc>
        <w:tc>
          <w:tcPr>
            <w:tcW w:w="7883" w:type="dxa"/>
            <w:gridSpan w:val="2"/>
          </w:tcPr>
          <w:p w:rsidR="00A97587" w:rsidRPr="00366589" w:rsidRDefault="00A97587" w:rsidP="002C7D0F">
            <w:pPr>
              <w:pStyle w:val="a0"/>
            </w:pPr>
            <w:r w:rsidRPr="00366589">
              <w:t>Фазы курса химиотерапии</w:t>
            </w:r>
          </w:p>
        </w:tc>
      </w:tr>
      <w:tr w:rsidR="00A97587" w:rsidRPr="003F52C2" w:rsidTr="002C7D0F">
        <w:trPr>
          <w:trHeight w:val="195"/>
          <w:jc w:val="center"/>
        </w:trPr>
        <w:tc>
          <w:tcPr>
            <w:tcW w:w="0" w:type="auto"/>
            <w:vMerge/>
            <w:vAlign w:val="center"/>
          </w:tcPr>
          <w:p w:rsidR="00A97587" w:rsidRPr="00192261" w:rsidRDefault="00A97587" w:rsidP="002C7D0F">
            <w:pPr>
              <w:pStyle w:val="a0"/>
            </w:pPr>
          </w:p>
        </w:tc>
        <w:tc>
          <w:tcPr>
            <w:tcW w:w="4127" w:type="dxa"/>
          </w:tcPr>
          <w:p w:rsidR="00A97587" w:rsidRPr="00192261" w:rsidRDefault="00A97587" w:rsidP="002C7D0F">
            <w:pPr>
              <w:pStyle w:val="a0"/>
            </w:pPr>
            <w:r w:rsidRPr="00192261">
              <w:t>Интенсивная</w:t>
            </w:r>
          </w:p>
        </w:tc>
        <w:tc>
          <w:tcPr>
            <w:tcW w:w="3756" w:type="dxa"/>
          </w:tcPr>
          <w:p w:rsidR="00A97587" w:rsidRPr="00192261" w:rsidRDefault="00A97587" w:rsidP="002C7D0F">
            <w:pPr>
              <w:pStyle w:val="a0"/>
            </w:pPr>
            <w:r w:rsidRPr="00192261">
              <w:t>Фаза продолжения</w:t>
            </w:r>
          </w:p>
        </w:tc>
      </w:tr>
      <w:tr w:rsidR="00A97587" w:rsidRPr="00A0111B" w:rsidTr="002C7D0F">
        <w:trPr>
          <w:jc w:val="center"/>
        </w:trPr>
        <w:tc>
          <w:tcPr>
            <w:tcW w:w="1687" w:type="dxa"/>
            <w:vAlign w:val="center"/>
          </w:tcPr>
          <w:p w:rsidR="00A97587" w:rsidRPr="00366589" w:rsidRDefault="00A97587" w:rsidP="002C7D0F">
            <w:pPr>
              <w:pStyle w:val="a0"/>
            </w:pPr>
            <w:r w:rsidRPr="00366589">
              <w:rPr>
                <w:lang w:val="en-US"/>
              </w:rPr>
              <w:t>I</w:t>
            </w:r>
            <w:r w:rsidRPr="00366589">
              <w:t xml:space="preserve"> </w:t>
            </w:r>
          </w:p>
        </w:tc>
        <w:tc>
          <w:tcPr>
            <w:tcW w:w="4127" w:type="dxa"/>
            <w:vAlign w:val="center"/>
          </w:tcPr>
          <w:p w:rsidR="00A97587" w:rsidRPr="00366589" w:rsidRDefault="00A97587" w:rsidP="002C7D0F">
            <w:pPr>
              <w:pStyle w:val="a0"/>
            </w:pPr>
            <w:r w:rsidRPr="00366589">
              <w:t xml:space="preserve">2-3* </w:t>
            </w:r>
            <w:r w:rsidRPr="00366589">
              <w:rPr>
                <w:lang w:val="en-US"/>
              </w:rPr>
              <w:t>H</w:t>
            </w:r>
            <w:r w:rsidRPr="00366589">
              <w:t xml:space="preserve"> </w:t>
            </w:r>
            <w:r w:rsidRPr="00366589">
              <w:rPr>
                <w:lang w:val="en-US"/>
              </w:rPr>
              <w:t>R</w:t>
            </w:r>
            <w:r w:rsidRPr="00366589">
              <w:t xml:space="preserve">** </w:t>
            </w:r>
            <w:r w:rsidRPr="00366589">
              <w:rPr>
                <w:lang w:val="en-US"/>
              </w:rPr>
              <w:t>Z</w:t>
            </w:r>
            <w:r w:rsidRPr="00366589">
              <w:t xml:space="preserve"> </w:t>
            </w:r>
            <w:r w:rsidRPr="00366589">
              <w:rPr>
                <w:lang w:val="en-US"/>
              </w:rPr>
              <w:t>E[S]</w:t>
            </w:r>
          </w:p>
        </w:tc>
        <w:tc>
          <w:tcPr>
            <w:tcW w:w="3756" w:type="dxa"/>
            <w:vAlign w:val="center"/>
          </w:tcPr>
          <w:p w:rsidR="00A97587" w:rsidRPr="00366589" w:rsidRDefault="00A97587" w:rsidP="002C7D0F">
            <w:pPr>
              <w:pStyle w:val="a0"/>
              <w:rPr>
                <w:lang w:val="pt-BR"/>
              </w:rPr>
            </w:pPr>
            <w:r w:rsidRPr="00366589">
              <w:rPr>
                <w:lang w:val="pt-BR"/>
              </w:rPr>
              <w:t>4*** H R**</w:t>
            </w:r>
          </w:p>
          <w:p w:rsidR="00A97587" w:rsidRPr="00366589" w:rsidRDefault="00A97587" w:rsidP="002C7D0F">
            <w:pPr>
              <w:pStyle w:val="a0"/>
              <w:rPr>
                <w:lang w:val="pt-BR"/>
              </w:rPr>
            </w:pPr>
            <w:r w:rsidRPr="00366589">
              <w:rPr>
                <w:lang w:val="pt-BR"/>
              </w:rPr>
              <w:t>4*** H R** E</w:t>
            </w:r>
          </w:p>
          <w:p w:rsidR="00A97587" w:rsidRPr="00366589" w:rsidRDefault="00A97587" w:rsidP="002C7D0F">
            <w:pPr>
              <w:pStyle w:val="a0"/>
              <w:rPr>
                <w:lang w:val="pt-BR"/>
              </w:rPr>
            </w:pPr>
            <w:r w:rsidRPr="00366589">
              <w:rPr>
                <w:lang w:val="pt-BR"/>
              </w:rPr>
              <w:t>12****H R**</w:t>
            </w:r>
          </w:p>
          <w:p w:rsidR="00A97587" w:rsidRPr="00366589" w:rsidRDefault="00A97587" w:rsidP="002C7D0F">
            <w:pPr>
              <w:pStyle w:val="a0"/>
              <w:rPr>
                <w:lang w:val="pt-BR"/>
              </w:rPr>
            </w:pPr>
            <w:r w:rsidRPr="00366589">
              <w:rPr>
                <w:lang w:val="pt-BR"/>
              </w:rPr>
              <w:t>12****H R** E</w:t>
            </w:r>
          </w:p>
        </w:tc>
      </w:tr>
      <w:tr w:rsidR="00A97587" w:rsidRPr="003F52C2" w:rsidTr="002C7D0F">
        <w:trPr>
          <w:jc w:val="center"/>
        </w:trPr>
        <w:tc>
          <w:tcPr>
            <w:tcW w:w="1687" w:type="dxa"/>
            <w:vAlign w:val="center"/>
          </w:tcPr>
          <w:p w:rsidR="00A97587" w:rsidRPr="00366589" w:rsidRDefault="00A97587" w:rsidP="002C7D0F">
            <w:pPr>
              <w:pStyle w:val="a0"/>
            </w:pPr>
            <w:r w:rsidRPr="00366589">
              <w:rPr>
                <w:lang w:val="en-US"/>
              </w:rPr>
              <w:t>II</w:t>
            </w:r>
            <w:r w:rsidRPr="00366589">
              <w:rPr>
                <w:b/>
              </w:rPr>
              <w:t xml:space="preserve"> </w:t>
            </w:r>
          </w:p>
        </w:tc>
        <w:tc>
          <w:tcPr>
            <w:tcW w:w="4127" w:type="dxa"/>
            <w:vAlign w:val="center"/>
          </w:tcPr>
          <w:p w:rsidR="00A97587" w:rsidRPr="00366589" w:rsidRDefault="00A97587" w:rsidP="002C7D0F">
            <w:pPr>
              <w:pStyle w:val="a0"/>
            </w:pPr>
            <w:r w:rsidRPr="00366589">
              <w:t xml:space="preserve">2-3* </w:t>
            </w:r>
            <w:r w:rsidRPr="00366589">
              <w:rPr>
                <w:bCs/>
              </w:rPr>
              <w:t>К</w:t>
            </w:r>
            <w:r w:rsidRPr="00366589">
              <w:rPr>
                <w:bCs/>
                <w:lang w:val="en-US"/>
              </w:rPr>
              <w:t>m /</w:t>
            </w:r>
            <w:r w:rsidRPr="00366589">
              <w:rPr>
                <w:bCs/>
              </w:rPr>
              <w:t>А</w:t>
            </w:r>
            <w:r w:rsidRPr="00366589">
              <w:rPr>
                <w:bCs/>
                <w:lang w:val="en-US"/>
              </w:rPr>
              <w:t>m R Z Fq [E]</w:t>
            </w:r>
          </w:p>
        </w:tc>
        <w:tc>
          <w:tcPr>
            <w:tcW w:w="3756" w:type="dxa"/>
            <w:vAlign w:val="center"/>
          </w:tcPr>
          <w:p w:rsidR="00A97587" w:rsidRPr="00366589" w:rsidRDefault="00A97587" w:rsidP="002C7D0F">
            <w:pPr>
              <w:pStyle w:val="a0"/>
            </w:pPr>
            <w:r w:rsidRPr="00366589">
              <w:t>6-9</w:t>
            </w:r>
            <w:r w:rsidRPr="00366589">
              <w:rPr>
                <w:bCs/>
                <w:lang w:val="en-US"/>
              </w:rPr>
              <w:t xml:space="preserve"> </w:t>
            </w:r>
            <w:r w:rsidRPr="00366589">
              <w:rPr>
                <w:lang w:val="de-DE"/>
              </w:rPr>
              <w:t>*</w:t>
            </w:r>
            <w:r w:rsidRPr="00366589">
              <w:t>*</w:t>
            </w:r>
            <w:r w:rsidRPr="00366589">
              <w:rPr>
                <w:lang w:val="de-DE"/>
              </w:rPr>
              <w:t>*</w:t>
            </w:r>
            <w:r w:rsidRPr="00366589">
              <w:rPr>
                <w:bCs/>
                <w:lang w:val="en-US"/>
              </w:rPr>
              <w:t>R Z Fq</w:t>
            </w:r>
            <w:r>
              <w:rPr>
                <w:bCs/>
              </w:rPr>
              <w:t xml:space="preserve"> </w:t>
            </w:r>
            <w:r w:rsidRPr="00366589">
              <w:rPr>
                <w:bCs/>
                <w:lang w:val="en-US"/>
              </w:rPr>
              <w:t>[E]</w:t>
            </w:r>
          </w:p>
        </w:tc>
      </w:tr>
      <w:tr w:rsidR="00A97587" w:rsidRPr="0093162F" w:rsidTr="002C7D0F">
        <w:trPr>
          <w:jc w:val="center"/>
        </w:trPr>
        <w:tc>
          <w:tcPr>
            <w:tcW w:w="1687" w:type="dxa"/>
            <w:vAlign w:val="center"/>
          </w:tcPr>
          <w:p w:rsidR="00A97587" w:rsidRPr="00366589" w:rsidRDefault="00A97587" w:rsidP="002C7D0F">
            <w:pPr>
              <w:pStyle w:val="a0"/>
            </w:pPr>
            <w:r w:rsidRPr="00366589">
              <w:rPr>
                <w:lang w:val="en-US"/>
              </w:rPr>
              <w:t>III</w:t>
            </w:r>
          </w:p>
        </w:tc>
        <w:tc>
          <w:tcPr>
            <w:tcW w:w="4127" w:type="dxa"/>
            <w:vAlign w:val="center"/>
          </w:tcPr>
          <w:p w:rsidR="00A97587" w:rsidRPr="00480044" w:rsidRDefault="00A97587" w:rsidP="00024507">
            <w:pPr>
              <w:pStyle w:val="a0"/>
            </w:pPr>
            <w:r w:rsidRPr="00480044">
              <w:t>6-8***** минимум 5 ПТП, к которым сохранена чувствительность</w:t>
            </w:r>
          </w:p>
          <w:p w:rsidR="00A97587" w:rsidRPr="00480044" w:rsidRDefault="00A97587" w:rsidP="00024507">
            <w:pPr>
              <w:pStyle w:val="a0"/>
            </w:pPr>
          </w:p>
          <w:p w:rsidR="00A97587" w:rsidRPr="00480044" w:rsidRDefault="00A97587" w:rsidP="00024507">
            <w:pPr>
              <w:pStyle w:val="a0"/>
              <w:rPr>
                <w:lang w:val="fr-FR"/>
              </w:rPr>
            </w:pPr>
            <w:r w:rsidRPr="00480044">
              <w:rPr>
                <w:lang w:val="fr-FR"/>
              </w:rPr>
              <w:t>Cm</w:t>
            </w:r>
            <w:r w:rsidRPr="00480044">
              <w:rPr>
                <w:bCs/>
                <w:lang w:val="fr-FR"/>
              </w:rPr>
              <w:t xml:space="preserve"> Lfx</w:t>
            </w:r>
            <w:r w:rsidRPr="00480044">
              <w:rPr>
                <w:lang w:val="fr-FR"/>
              </w:rPr>
              <w:t xml:space="preserve"> Z Pto/Eto Cs/Trd (PAS)</w:t>
            </w:r>
          </w:p>
          <w:p w:rsidR="00A97587" w:rsidRPr="00480044" w:rsidRDefault="00A97587" w:rsidP="00480044">
            <w:pPr>
              <w:pStyle w:val="a0"/>
              <w:rPr>
                <w:lang w:val="fr-FR"/>
              </w:rPr>
            </w:pPr>
            <w:r w:rsidRPr="00480044">
              <w:rPr>
                <w:bCs/>
                <w:lang w:val="fr-FR"/>
              </w:rPr>
              <w:t>[</w:t>
            </w:r>
            <w:r w:rsidRPr="00480044">
              <w:rPr>
                <w:bCs/>
              </w:rPr>
              <w:t>К</w:t>
            </w:r>
            <w:r w:rsidRPr="00480044">
              <w:rPr>
                <w:bCs/>
                <w:lang w:val="fr-FR"/>
              </w:rPr>
              <w:t>m /</w:t>
            </w:r>
            <w:r w:rsidRPr="00480044">
              <w:rPr>
                <w:bCs/>
              </w:rPr>
              <w:t>А</w:t>
            </w:r>
            <w:r w:rsidRPr="00480044">
              <w:rPr>
                <w:bCs/>
                <w:lang w:val="fr-FR"/>
              </w:rPr>
              <w:t>m] [E]</w:t>
            </w:r>
            <w:r w:rsidRPr="00A0111B">
              <w:rPr>
                <w:lang w:val="fr-FR"/>
              </w:rPr>
              <w:t xml:space="preserve"> [Mfx]</w:t>
            </w:r>
            <w:r w:rsidRPr="00480044">
              <w:rPr>
                <w:lang w:val="fr-FR"/>
              </w:rPr>
              <w:t xml:space="preserve"> [Thz] [Tp]</w:t>
            </w:r>
            <w:r w:rsidRPr="00480044">
              <w:rPr>
                <w:sz w:val="20"/>
                <w:szCs w:val="20"/>
                <w:lang w:val="fr-FR"/>
              </w:rPr>
              <w:t xml:space="preserve"> </w:t>
            </w:r>
            <w:r w:rsidRPr="00480044">
              <w:rPr>
                <w:lang w:val="fr-FR"/>
              </w:rPr>
              <w:t>[Bq]</w:t>
            </w:r>
          </w:p>
        </w:tc>
        <w:tc>
          <w:tcPr>
            <w:tcW w:w="3756" w:type="dxa"/>
            <w:vAlign w:val="center"/>
          </w:tcPr>
          <w:p w:rsidR="00A97587" w:rsidRPr="00480044" w:rsidRDefault="00A97587" w:rsidP="00024507">
            <w:pPr>
              <w:pStyle w:val="a0"/>
            </w:pPr>
            <w:r w:rsidRPr="00480044">
              <w:t>10-12******</w:t>
            </w:r>
          </w:p>
          <w:p w:rsidR="00A97587" w:rsidRPr="00480044" w:rsidRDefault="00A97587" w:rsidP="00024507">
            <w:pPr>
              <w:pStyle w:val="a0"/>
              <w:rPr>
                <w:bCs/>
              </w:rPr>
            </w:pPr>
            <w:r w:rsidRPr="00480044">
              <w:t>минимум 3-4  ПТП, к которым сохранена чувствительность МБТ</w:t>
            </w:r>
            <w:r w:rsidRPr="00480044">
              <w:rPr>
                <w:bCs/>
              </w:rPr>
              <w:t xml:space="preserve"> </w:t>
            </w:r>
          </w:p>
          <w:p w:rsidR="00A97587" w:rsidRPr="00A0111B" w:rsidRDefault="00A97587" w:rsidP="00024507">
            <w:pPr>
              <w:pStyle w:val="a0"/>
              <w:rPr>
                <w:lang w:val="fr-FR"/>
              </w:rPr>
            </w:pPr>
            <w:r w:rsidRPr="00480044">
              <w:rPr>
                <w:bCs/>
                <w:lang w:val="fr-FR"/>
              </w:rPr>
              <w:t>Lfx</w:t>
            </w:r>
            <w:r w:rsidRPr="00A0111B">
              <w:rPr>
                <w:lang w:val="fr-FR"/>
              </w:rPr>
              <w:t xml:space="preserve"> </w:t>
            </w:r>
            <w:r w:rsidRPr="00480044">
              <w:rPr>
                <w:lang w:val="fr-FR"/>
              </w:rPr>
              <w:t>Z</w:t>
            </w:r>
            <w:r w:rsidRPr="00A0111B">
              <w:rPr>
                <w:lang w:val="fr-FR"/>
              </w:rPr>
              <w:t xml:space="preserve"> </w:t>
            </w:r>
            <w:r w:rsidRPr="00480044">
              <w:rPr>
                <w:lang w:val="fr-FR"/>
              </w:rPr>
              <w:t>Cs</w:t>
            </w:r>
            <w:r w:rsidRPr="00A0111B">
              <w:rPr>
                <w:lang w:val="fr-FR"/>
              </w:rPr>
              <w:t>/</w:t>
            </w:r>
            <w:r w:rsidRPr="00480044">
              <w:rPr>
                <w:lang w:val="fr-FR"/>
              </w:rPr>
              <w:t>Trd</w:t>
            </w:r>
            <w:r w:rsidRPr="00A0111B">
              <w:rPr>
                <w:lang w:val="fr-FR"/>
              </w:rPr>
              <w:t xml:space="preserve"> </w:t>
            </w:r>
            <w:r w:rsidRPr="00480044">
              <w:rPr>
                <w:lang w:val="fr-FR"/>
              </w:rPr>
              <w:t>PAS</w:t>
            </w:r>
            <w:r w:rsidRPr="00A0111B">
              <w:rPr>
                <w:lang w:val="fr-FR"/>
              </w:rPr>
              <w:t xml:space="preserve"> (</w:t>
            </w:r>
            <w:r w:rsidRPr="00480044">
              <w:rPr>
                <w:lang w:val="fr-FR"/>
              </w:rPr>
              <w:t>Pto</w:t>
            </w:r>
            <w:r w:rsidRPr="00A0111B">
              <w:rPr>
                <w:lang w:val="fr-FR"/>
              </w:rPr>
              <w:t>/</w:t>
            </w:r>
            <w:r w:rsidRPr="00480044">
              <w:rPr>
                <w:lang w:val="fr-FR"/>
              </w:rPr>
              <w:t>Eto</w:t>
            </w:r>
            <w:r w:rsidRPr="00A0111B">
              <w:rPr>
                <w:lang w:val="fr-FR"/>
              </w:rPr>
              <w:t>)</w:t>
            </w:r>
          </w:p>
          <w:p w:rsidR="00A97587" w:rsidRPr="00480044" w:rsidRDefault="00A97587" w:rsidP="00480044">
            <w:pPr>
              <w:pStyle w:val="a0"/>
              <w:rPr>
                <w:lang w:val="de-DE"/>
              </w:rPr>
            </w:pPr>
            <w:r w:rsidRPr="00480044">
              <w:rPr>
                <w:lang w:val="es-PE"/>
              </w:rPr>
              <w:t>[ E] [Mfx]</w:t>
            </w:r>
            <w:r w:rsidRPr="00480044">
              <w:rPr>
                <w:lang w:val="fr-FR"/>
              </w:rPr>
              <w:t xml:space="preserve"> [Thz] [</w:t>
            </w:r>
            <w:r w:rsidRPr="00480044">
              <w:rPr>
                <w:lang w:val="de-DE"/>
              </w:rPr>
              <w:t>Tp</w:t>
            </w:r>
            <w:r w:rsidRPr="00480044">
              <w:rPr>
                <w:lang w:val="fr-FR"/>
              </w:rPr>
              <w:t>]</w:t>
            </w:r>
            <w:r w:rsidRPr="00480044">
              <w:rPr>
                <w:lang w:val="de-DE"/>
              </w:rPr>
              <w:t xml:space="preserve"> </w:t>
            </w:r>
            <w:r w:rsidRPr="00480044">
              <w:rPr>
                <w:lang w:val="fr-FR"/>
              </w:rPr>
              <w:t>[Bq]</w:t>
            </w:r>
          </w:p>
        </w:tc>
      </w:tr>
    </w:tbl>
    <w:p w:rsidR="00A97587" w:rsidRPr="003F52C2" w:rsidRDefault="00A97587" w:rsidP="000B4017">
      <w:pPr>
        <w:keepNext/>
        <w:spacing w:after="120" w:line="240" w:lineRule="auto"/>
        <w:ind w:firstLine="357"/>
        <w:rPr>
          <w:i/>
          <w:sz w:val="20"/>
          <w:szCs w:val="20"/>
          <w:u w:val="single"/>
        </w:rPr>
      </w:pPr>
      <w:r w:rsidRPr="003F52C2">
        <w:rPr>
          <w:i/>
          <w:sz w:val="20"/>
          <w:szCs w:val="20"/>
          <w:u w:val="single"/>
        </w:rPr>
        <w:t xml:space="preserve">Примечания. </w:t>
      </w:r>
    </w:p>
    <w:p w:rsidR="00A97587" w:rsidRPr="003F52C2" w:rsidRDefault="00A97587" w:rsidP="000B4017">
      <w:pPr>
        <w:spacing w:after="0" w:line="240" w:lineRule="auto"/>
        <w:jc w:val="both"/>
        <w:rPr>
          <w:sz w:val="20"/>
          <w:szCs w:val="20"/>
        </w:rPr>
      </w:pPr>
      <w:r w:rsidRPr="003F52C2">
        <w:rPr>
          <w:sz w:val="20"/>
          <w:szCs w:val="20"/>
        </w:rPr>
        <w:t>* Продолжительность интенсивной фазы химиотерапии в месяцах при туберкулезе органов дыхания или любой другой локализации у взрослых больных – 2-3 месяца или более до конверсии мазка мокроты и получения результата ТЛЧ.</w:t>
      </w:r>
    </w:p>
    <w:p w:rsidR="00A97587" w:rsidRPr="003F52C2" w:rsidRDefault="00A97587" w:rsidP="000B4017">
      <w:pPr>
        <w:tabs>
          <w:tab w:val="left" w:pos="426"/>
        </w:tabs>
        <w:spacing w:after="0" w:line="240" w:lineRule="auto"/>
        <w:jc w:val="both"/>
        <w:rPr>
          <w:sz w:val="20"/>
          <w:szCs w:val="20"/>
        </w:rPr>
      </w:pPr>
      <w:r w:rsidRPr="003F52C2">
        <w:rPr>
          <w:sz w:val="20"/>
          <w:szCs w:val="20"/>
        </w:rPr>
        <w:t>**При сочетании туберкулеза с ВИЧ-инфекцией с назначением в схеме антиретровирусного лечения ингибиторов протеаз и нуклеозидных ингибиторов обратной транскриптазы</w:t>
      </w:r>
      <w:r w:rsidRPr="003F52C2">
        <w:t xml:space="preserve"> </w:t>
      </w:r>
      <w:r w:rsidRPr="003F52C2">
        <w:rPr>
          <w:sz w:val="20"/>
          <w:szCs w:val="20"/>
          <w:lang w:val="en-US"/>
        </w:rPr>
        <w:t>R</w:t>
      </w:r>
      <w:r w:rsidRPr="003F52C2">
        <w:rPr>
          <w:sz w:val="20"/>
          <w:szCs w:val="20"/>
        </w:rPr>
        <w:t xml:space="preserve"> заменяется на </w:t>
      </w:r>
      <w:r w:rsidRPr="003F52C2">
        <w:rPr>
          <w:sz w:val="20"/>
          <w:szCs w:val="20"/>
          <w:lang w:val="en-US"/>
        </w:rPr>
        <w:t>Rb</w:t>
      </w:r>
      <w:r w:rsidRPr="003F52C2">
        <w:rPr>
          <w:sz w:val="20"/>
          <w:szCs w:val="20"/>
        </w:rPr>
        <w:t>.</w:t>
      </w:r>
    </w:p>
    <w:p w:rsidR="00A97587" w:rsidRPr="003F52C2" w:rsidRDefault="00A97587" w:rsidP="000B4017">
      <w:pPr>
        <w:spacing w:after="0" w:line="240" w:lineRule="auto"/>
        <w:jc w:val="both"/>
        <w:rPr>
          <w:sz w:val="20"/>
          <w:szCs w:val="20"/>
        </w:rPr>
      </w:pPr>
      <w:r w:rsidRPr="003F52C2">
        <w:rPr>
          <w:sz w:val="20"/>
          <w:szCs w:val="20"/>
        </w:rPr>
        <w:t xml:space="preserve">*** Длительность фазы продолжения лечения при туберкулезе легких – не менее 4-х месяцев </w:t>
      </w:r>
    </w:p>
    <w:p w:rsidR="00A97587" w:rsidRPr="003F52C2" w:rsidRDefault="00A97587" w:rsidP="000B4017">
      <w:pPr>
        <w:spacing w:after="0" w:line="240" w:lineRule="auto"/>
        <w:jc w:val="both"/>
        <w:rPr>
          <w:sz w:val="20"/>
          <w:szCs w:val="20"/>
        </w:rPr>
      </w:pPr>
      <w:r w:rsidRPr="003F52C2">
        <w:rPr>
          <w:sz w:val="20"/>
          <w:szCs w:val="20"/>
        </w:rPr>
        <w:t xml:space="preserve">**** Длительность фазы продолжения лечения при туберкулезном менингите и костно-суставном туберкулезе до 12 месяцев </w:t>
      </w:r>
    </w:p>
    <w:p w:rsidR="00A97587" w:rsidRPr="003F52C2" w:rsidRDefault="00A97587" w:rsidP="000B4017">
      <w:pPr>
        <w:spacing w:after="0" w:line="240" w:lineRule="auto"/>
        <w:jc w:val="both"/>
        <w:rPr>
          <w:sz w:val="20"/>
          <w:szCs w:val="20"/>
        </w:rPr>
      </w:pPr>
      <w:r w:rsidRPr="003F52C2">
        <w:rPr>
          <w:sz w:val="20"/>
          <w:szCs w:val="20"/>
        </w:rPr>
        <w:t xml:space="preserve">*****Длительность интенсивной фазы 8 месяцев и более до получения двух последовательных отрицательных результатов посева с интервалом в один месяц. При малых формах туберкулеза и отсутствии бактериовыделения методами микроскопии и посева интенсивная фаза лечения может быть сокращена до 6 месяцев </w:t>
      </w:r>
    </w:p>
    <w:p w:rsidR="00A97587" w:rsidRPr="003F52C2" w:rsidRDefault="00A97587" w:rsidP="000B4017">
      <w:pPr>
        <w:spacing w:after="0" w:line="240" w:lineRule="auto"/>
        <w:jc w:val="both"/>
        <w:rPr>
          <w:sz w:val="20"/>
          <w:szCs w:val="20"/>
        </w:rPr>
      </w:pPr>
      <w:r w:rsidRPr="003F52C2">
        <w:rPr>
          <w:sz w:val="20"/>
          <w:szCs w:val="20"/>
        </w:rPr>
        <w:t>****** Длительность фазы продолжения лечения 12 месяцев и более для пациентов, повторно получающих лечение по</w:t>
      </w:r>
      <w:r w:rsidRPr="00A42A8B">
        <w:rPr>
          <w:sz w:val="20"/>
          <w:szCs w:val="20"/>
        </w:rPr>
        <w:t xml:space="preserve"> </w:t>
      </w:r>
      <w:r>
        <w:rPr>
          <w:sz w:val="20"/>
          <w:szCs w:val="20"/>
          <w:lang w:val="en-US"/>
        </w:rPr>
        <w:t>III</w:t>
      </w:r>
      <w:r w:rsidRPr="003F52C2">
        <w:rPr>
          <w:sz w:val="20"/>
          <w:szCs w:val="20"/>
        </w:rPr>
        <w:t xml:space="preserve"> режиму.</w:t>
      </w:r>
    </w:p>
    <w:p w:rsidR="00A97587" w:rsidRPr="00227C67" w:rsidRDefault="00A97587" w:rsidP="000B4017">
      <w:pPr>
        <w:pStyle w:val="21"/>
        <w:spacing w:after="0" w:line="240" w:lineRule="auto"/>
        <w:jc w:val="both"/>
        <w:rPr>
          <w:rFonts w:ascii="Calibri" w:hAnsi="Calibri"/>
          <w:sz w:val="20"/>
          <w:szCs w:val="20"/>
          <w:lang w:val="ru-RU"/>
        </w:rPr>
      </w:pPr>
      <w:r w:rsidRPr="00B15021">
        <w:rPr>
          <w:rFonts w:ascii="Calibri" w:hAnsi="Calibri"/>
          <w:sz w:val="20"/>
          <w:szCs w:val="20"/>
          <w:lang w:val="ru-RU"/>
        </w:rPr>
        <w:t xml:space="preserve">Сокращения: </w:t>
      </w:r>
      <w:r w:rsidRPr="00B15021">
        <w:rPr>
          <w:rFonts w:ascii="Calibri" w:hAnsi="Calibri"/>
          <w:sz w:val="20"/>
          <w:szCs w:val="20"/>
        </w:rPr>
        <w:t>H</w:t>
      </w:r>
      <w:r w:rsidRPr="00B15021">
        <w:rPr>
          <w:rFonts w:ascii="Calibri" w:hAnsi="Calibri"/>
          <w:sz w:val="20"/>
          <w:szCs w:val="20"/>
          <w:lang w:val="ru-RU"/>
        </w:rPr>
        <w:t xml:space="preserve"> – изониазид, </w:t>
      </w:r>
      <w:r w:rsidRPr="00B15021">
        <w:rPr>
          <w:rFonts w:ascii="Calibri" w:hAnsi="Calibri"/>
          <w:sz w:val="20"/>
          <w:szCs w:val="20"/>
        </w:rPr>
        <w:t>R</w:t>
      </w:r>
      <w:r w:rsidRPr="00B15021">
        <w:rPr>
          <w:rFonts w:ascii="Calibri" w:hAnsi="Calibri"/>
          <w:sz w:val="20"/>
          <w:szCs w:val="20"/>
          <w:lang w:val="ru-RU"/>
        </w:rPr>
        <w:t xml:space="preserve"> – рифампицин, </w:t>
      </w:r>
      <w:r w:rsidRPr="00B15021">
        <w:rPr>
          <w:rFonts w:ascii="Calibri" w:hAnsi="Calibri"/>
          <w:sz w:val="20"/>
          <w:szCs w:val="20"/>
        </w:rPr>
        <w:t>Rb</w:t>
      </w:r>
      <w:r w:rsidRPr="00B15021">
        <w:rPr>
          <w:rFonts w:ascii="Calibri" w:hAnsi="Calibri"/>
          <w:sz w:val="20"/>
          <w:szCs w:val="20"/>
          <w:lang w:val="ru-RU"/>
        </w:rPr>
        <w:t xml:space="preserve"> – рифабутин, </w:t>
      </w:r>
      <w:r w:rsidRPr="00B15021">
        <w:rPr>
          <w:rFonts w:ascii="Calibri" w:hAnsi="Calibri"/>
          <w:sz w:val="20"/>
          <w:szCs w:val="20"/>
        </w:rPr>
        <w:t>Z</w:t>
      </w:r>
      <w:r w:rsidRPr="00B15021">
        <w:rPr>
          <w:rFonts w:ascii="Calibri" w:hAnsi="Calibri"/>
          <w:sz w:val="20"/>
          <w:szCs w:val="20"/>
          <w:lang w:val="ru-RU"/>
        </w:rPr>
        <w:t xml:space="preserve"> – пиразинамид, </w:t>
      </w:r>
      <w:r w:rsidRPr="00B15021">
        <w:rPr>
          <w:rFonts w:ascii="Calibri" w:hAnsi="Calibri"/>
          <w:sz w:val="20"/>
          <w:szCs w:val="20"/>
        </w:rPr>
        <w:t>E</w:t>
      </w:r>
      <w:r w:rsidRPr="00B15021">
        <w:rPr>
          <w:rFonts w:ascii="Calibri" w:hAnsi="Calibri"/>
          <w:sz w:val="20"/>
          <w:szCs w:val="20"/>
          <w:lang w:val="ru-RU"/>
        </w:rPr>
        <w:t xml:space="preserve"> – этамбутол, , </w:t>
      </w:r>
      <w:r w:rsidRPr="00B15021">
        <w:rPr>
          <w:rFonts w:ascii="Calibri" w:hAnsi="Calibri"/>
          <w:sz w:val="20"/>
          <w:szCs w:val="20"/>
        </w:rPr>
        <w:t>Km</w:t>
      </w:r>
      <w:r w:rsidRPr="00B15021">
        <w:rPr>
          <w:rFonts w:ascii="Calibri" w:hAnsi="Calibri"/>
          <w:sz w:val="20"/>
          <w:szCs w:val="20"/>
          <w:lang w:val="ru-RU"/>
        </w:rPr>
        <w:t xml:space="preserve"> – канамицин, </w:t>
      </w:r>
      <w:r w:rsidRPr="00B15021">
        <w:rPr>
          <w:rFonts w:ascii="Calibri" w:hAnsi="Calibri"/>
          <w:sz w:val="20"/>
          <w:szCs w:val="20"/>
        </w:rPr>
        <w:t>Am</w:t>
      </w:r>
      <w:r w:rsidRPr="00B15021">
        <w:rPr>
          <w:rFonts w:ascii="Calibri" w:hAnsi="Calibri"/>
          <w:sz w:val="20"/>
          <w:szCs w:val="20"/>
          <w:lang w:val="ru-RU"/>
        </w:rPr>
        <w:t xml:space="preserve"> – амикацин, </w:t>
      </w:r>
      <w:r w:rsidRPr="00B15021">
        <w:rPr>
          <w:rFonts w:ascii="Calibri" w:hAnsi="Calibri"/>
          <w:sz w:val="20"/>
          <w:szCs w:val="20"/>
        </w:rPr>
        <w:t>Pto</w:t>
      </w:r>
      <w:r w:rsidRPr="00B15021">
        <w:rPr>
          <w:rFonts w:ascii="Calibri" w:hAnsi="Calibri"/>
          <w:sz w:val="20"/>
          <w:szCs w:val="20"/>
          <w:lang w:val="ru-RU"/>
        </w:rPr>
        <w:t xml:space="preserve"> – протионамид, Е</w:t>
      </w:r>
      <w:r w:rsidRPr="00B15021">
        <w:rPr>
          <w:rFonts w:ascii="Calibri" w:hAnsi="Calibri"/>
          <w:sz w:val="20"/>
          <w:szCs w:val="20"/>
        </w:rPr>
        <w:t>to</w:t>
      </w:r>
      <w:r w:rsidRPr="00B15021">
        <w:rPr>
          <w:rFonts w:ascii="Calibri" w:hAnsi="Calibri"/>
          <w:sz w:val="20"/>
          <w:szCs w:val="20"/>
          <w:lang w:val="ru-RU"/>
        </w:rPr>
        <w:t xml:space="preserve"> – этионамид, </w:t>
      </w:r>
      <w:r w:rsidRPr="00B15021">
        <w:rPr>
          <w:rFonts w:ascii="Calibri" w:hAnsi="Calibri"/>
          <w:sz w:val="20"/>
          <w:szCs w:val="20"/>
        </w:rPr>
        <w:t>Cm</w:t>
      </w:r>
      <w:r w:rsidRPr="00B15021">
        <w:rPr>
          <w:rFonts w:ascii="Calibri" w:hAnsi="Calibri"/>
          <w:sz w:val="20"/>
          <w:szCs w:val="20"/>
          <w:lang w:val="ru-RU"/>
        </w:rPr>
        <w:t xml:space="preserve"> – капреомицин, </w:t>
      </w:r>
      <w:r w:rsidRPr="00B15021">
        <w:rPr>
          <w:rFonts w:ascii="Calibri" w:hAnsi="Calibri"/>
          <w:sz w:val="20"/>
          <w:szCs w:val="20"/>
        </w:rPr>
        <w:t>Fq</w:t>
      </w:r>
      <w:r w:rsidRPr="00B15021">
        <w:rPr>
          <w:rFonts w:ascii="Calibri" w:hAnsi="Calibri"/>
          <w:sz w:val="20"/>
          <w:szCs w:val="20"/>
          <w:lang w:val="ru-RU"/>
        </w:rPr>
        <w:t xml:space="preserve"> –фторхинолоны, </w:t>
      </w:r>
      <w:r>
        <w:rPr>
          <w:rFonts w:ascii="Calibri" w:hAnsi="Calibri"/>
          <w:sz w:val="20"/>
          <w:szCs w:val="20"/>
        </w:rPr>
        <w:t>Lfx</w:t>
      </w:r>
      <w:r w:rsidRPr="00A42A8B">
        <w:rPr>
          <w:rFonts w:ascii="Calibri" w:hAnsi="Calibri"/>
          <w:sz w:val="20"/>
          <w:szCs w:val="20"/>
          <w:lang w:val="ru-RU"/>
        </w:rPr>
        <w:t xml:space="preserve"> </w:t>
      </w:r>
      <w:r>
        <w:rPr>
          <w:rFonts w:ascii="Calibri" w:hAnsi="Calibri"/>
          <w:sz w:val="20"/>
          <w:szCs w:val="20"/>
          <w:lang w:val="ru-RU"/>
        </w:rPr>
        <w:t>–</w:t>
      </w:r>
      <w:r w:rsidRPr="00A42A8B">
        <w:rPr>
          <w:rFonts w:ascii="Calibri" w:hAnsi="Calibri"/>
          <w:sz w:val="20"/>
          <w:szCs w:val="20"/>
          <w:lang w:val="ru-RU"/>
        </w:rPr>
        <w:t xml:space="preserve"> </w:t>
      </w:r>
      <w:r>
        <w:rPr>
          <w:rFonts w:ascii="Calibri" w:hAnsi="Calibri"/>
          <w:sz w:val="20"/>
          <w:szCs w:val="20"/>
          <w:lang w:val="ru-RU"/>
        </w:rPr>
        <w:t>левофлоксацин,</w:t>
      </w:r>
      <w:r w:rsidRPr="00B15021">
        <w:rPr>
          <w:rFonts w:ascii="Calibri" w:hAnsi="Calibri"/>
          <w:sz w:val="20"/>
          <w:szCs w:val="20"/>
        </w:rPr>
        <w:t>Mfx</w:t>
      </w:r>
      <w:r w:rsidRPr="00B15021">
        <w:rPr>
          <w:rFonts w:ascii="Calibri" w:hAnsi="Calibri"/>
          <w:sz w:val="20"/>
          <w:szCs w:val="20"/>
          <w:lang w:val="ru-RU"/>
        </w:rPr>
        <w:t xml:space="preserve"> – моксифлоксацин, </w:t>
      </w:r>
      <w:r w:rsidRPr="00B15021">
        <w:rPr>
          <w:rFonts w:ascii="Calibri" w:hAnsi="Calibri"/>
          <w:sz w:val="20"/>
          <w:szCs w:val="20"/>
        </w:rPr>
        <w:t>Cs</w:t>
      </w:r>
      <w:r w:rsidRPr="00B15021">
        <w:rPr>
          <w:rFonts w:ascii="Calibri" w:hAnsi="Calibri"/>
          <w:sz w:val="20"/>
          <w:szCs w:val="20"/>
          <w:lang w:val="ru-RU"/>
        </w:rPr>
        <w:t xml:space="preserve"> – циклосерин, </w:t>
      </w:r>
      <w:r w:rsidRPr="00B15021">
        <w:rPr>
          <w:rFonts w:ascii="Calibri" w:hAnsi="Calibri"/>
          <w:sz w:val="20"/>
          <w:szCs w:val="20"/>
        </w:rPr>
        <w:t>Trd</w:t>
      </w:r>
      <w:r w:rsidRPr="00B15021">
        <w:rPr>
          <w:rFonts w:ascii="Calibri" w:hAnsi="Calibri"/>
          <w:sz w:val="20"/>
          <w:szCs w:val="20"/>
          <w:lang w:val="ru-RU"/>
        </w:rPr>
        <w:t xml:space="preserve"> – теризидон, </w:t>
      </w:r>
      <w:r w:rsidRPr="00B15021">
        <w:rPr>
          <w:rFonts w:ascii="Calibri" w:hAnsi="Calibri"/>
          <w:sz w:val="20"/>
          <w:szCs w:val="20"/>
        </w:rPr>
        <w:t>PAS</w:t>
      </w:r>
      <w:r w:rsidRPr="00B15021">
        <w:rPr>
          <w:rFonts w:ascii="Calibri" w:hAnsi="Calibri"/>
          <w:sz w:val="20"/>
          <w:szCs w:val="20"/>
          <w:lang w:val="ru-RU"/>
        </w:rPr>
        <w:t xml:space="preserve"> –  аминосалициловая кислота, </w:t>
      </w:r>
      <w:r w:rsidRPr="00B15021">
        <w:rPr>
          <w:rFonts w:ascii="Calibri" w:hAnsi="Calibri"/>
          <w:sz w:val="20"/>
          <w:szCs w:val="20"/>
        </w:rPr>
        <w:t>Thz</w:t>
      </w:r>
      <w:r w:rsidRPr="00B15021">
        <w:rPr>
          <w:rFonts w:ascii="Calibri" w:hAnsi="Calibri"/>
          <w:sz w:val="20"/>
          <w:szCs w:val="20"/>
          <w:lang w:val="ru-RU"/>
        </w:rPr>
        <w:t xml:space="preserve"> - тиоацетазон, </w:t>
      </w:r>
      <w:r>
        <w:rPr>
          <w:rFonts w:ascii="Calibri" w:hAnsi="Calibri"/>
          <w:sz w:val="20"/>
          <w:szCs w:val="20"/>
        </w:rPr>
        <w:t>Tp</w:t>
      </w:r>
      <w:r w:rsidRPr="00B15021">
        <w:rPr>
          <w:rFonts w:ascii="Calibri" w:hAnsi="Calibri"/>
          <w:sz w:val="20"/>
          <w:szCs w:val="20"/>
          <w:lang w:val="ru-RU"/>
        </w:rPr>
        <w:t xml:space="preserve"> – тиоуреидоиминометилпиридиния перхлорат (</w:t>
      </w:r>
      <w:r>
        <w:rPr>
          <w:rFonts w:ascii="Calibri" w:hAnsi="Calibri"/>
          <w:sz w:val="20"/>
          <w:szCs w:val="20"/>
          <w:lang w:val="ru-RU"/>
        </w:rPr>
        <w:t>п</w:t>
      </w:r>
      <w:r w:rsidRPr="00B15021">
        <w:rPr>
          <w:rFonts w:ascii="Calibri" w:hAnsi="Calibri"/>
          <w:sz w:val="20"/>
          <w:szCs w:val="20"/>
          <w:lang w:val="ru-RU"/>
        </w:rPr>
        <w:t>ерхлозон)</w:t>
      </w:r>
      <w:r>
        <w:rPr>
          <w:rFonts w:ascii="Calibri" w:hAnsi="Calibri"/>
          <w:sz w:val="20"/>
          <w:szCs w:val="20"/>
          <w:lang w:val="ru-RU"/>
        </w:rPr>
        <w:t xml:space="preserve">, </w:t>
      </w:r>
      <w:r>
        <w:rPr>
          <w:rFonts w:ascii="Calibri" w:hAnsi="Calibri"/>
          <w:sz w:val="20"/>
          <w:szCs w:val="20"/>
        </w:rPr>
        <w:t>Ba</w:t>
      </w:r>
      <w:r w:rsidRPr="00227C67">
        <w:rPr>
          <w:rFonts w:ascii="Calibri" w:hAnsi="Calibri"/>
          <w:sz w:val="20"/>
          <w:szCs w:val="20"/>
          <w:lang w:val="ru-RU"/>
        </w:rPr>
        <w:t xml:space="preserve">- </w:t>
      </w:r>
      <w:r>
        <w:rPr>
          <w:rFonts w:ascii="Calibri" w:hAnsi="Calibri"/>
          <w:sz w:val="20"/>
          <w:szCs w:val="20"/>
          <w:lang w:val="ru-RU"/>
        </w:rPr>
        <w:t>бедаквилин</w:t>
      </w:r>
    </w:p>
    <w:p w:rsidR="00A97587" w:rsidRDefault="00A97587" w:rsidP="000B4017">
      <w:pPr>
        <w:spacing w:after="0" w:line="240" w:lineRule="auto"/>
        <w:jc w:val="both"/>
        <w:rPr>
          <w:sz w:val="20"/>
          <w:szCs w:val="20"/>
        </w:rPr>
      </w:pPr>
      <w:r w:rsidRPr="003F52C2">
        <w:rPr>
          <w:sz w:val="20"/>
          <w:szCs w:val="20"/>
        </w:rPr>
        <w:t xml:space="preserve">Возможные варианты режимов и включения в них отдельных препаратов указаны после знака " / ". В квадратных скобках приведены режимы и препараты, назначение которых основывается на данных о лекарственной чувствительности микобактерий. </w:t>
      </w:r>
    </w:p>
    <w:p w:rsidR="00A97587" w:rsidRDefault="00A97587" w:rsidP="000B4017">
      <w:pPr>
        <w:spacing w:after="0" w:line="240" w:lineRule="auto"/>
        <w:jc w:val="both"/>
        <w:rPr>
          <w:sz w:val="20"/>
          <w:szCs w:val="20"/>
        </w:rPr>
      </w:pPr>
    </w:p>
    <w:p w:rsidR="00A97587" w:rsidRPr="00357805" w:rsidRDefault="00A97587" w:rsidP="0093162F">
      <w:pPr>
        <w:spacing w:after="0" w:line="240" w:lineRule="auto"/>
        <w:jc w:val="both"/>
        <w:rPr>
          <w:sz w:val="20"/>
          <w:szCs w:val="20"/>
        </w:rPr>
      </w:pPr>
    </w:p>
    <w:p w:rsidR="00A97587" w:rsidRPr="00357805" w:rsidRDefault="00A97587" w:rsidP="0093162F">
      <w:pPr>
        <w:spacing w:after="0" w:line="240" w:lineRule="auto"/>
        <w:jc w:val="both"/>
        <w:rPr>
          <w:sz w:val="20"/>
          <w:szCs w:val="20"/>
        </w:rPr>
      </w:pPr>
    </w:p>
    <w:tbl>
      <w:tblPr>
        <w:tblW w:w="0" w:type="auto"/>
        <w:tblLook w:val="0000"/>
      </w:tblPr>
      <w:tblGrid>
        <w:gridCol w:w="648"/>
        <w:gridCol w:w="8922"/>
      </w:tblGrid>
      <w:tr w:rsidR="00A97587" w:rsidTr="0093162F">
        <w:tc>
          <w:tcPr>
            <w:tcW w:w="648" w:type="dxa"/>
            <w:shd w:val="clear" w:color="auto" w:fill="8C8C8C"/>
            <w:vAlign w:val="center"/>
          </w:tcPr>
          <w:p w:rsidR="00A97587" w:rsidRPr="0093162F" w:rsidRDefault="00A97587" w:rsidP="0093162F">
            <w:pPr>
              <w:pStyle w:val="a0"/>
              <w:spacing w:before="60" w:after="60"/>
              <w:jc w:val="center"/>
              <w:rPr>
                <w:rFonts w:ascii="Arial" w:hAnsi="Arial"/>
                <w:b/>
                <w:color w:val="FFFFFF"/>
              </w:rPr>
            </w:pPr>
            <w:r>
              <w:rPr>
                <w:rFonts w:ascii="Arial" w:hAnsi="Arial"/>
                <w:b/>
                <w:color w:val="FFFFFF"/>
              </w:rPr>
              <w:t>С</w:t>
            </w:r>
          </w:p>
        </w:tc>
        <w:tc>
          <w:tcPr>
            <w:tcW w:w="8922" w:type="dxa"/>
            <w:vAlign w:val="center"/>
          </w:tcPr>
          <w:p w:rsidR="00A97587" w:rsidRPr="0093162F" w:rsidRDefault="00A97587" w:rsidP="0093162F">
            <w:pPr>
              <w:pStyle w:val="ListParagraph"/>
              <w:numPr>
                <w:ilvl w:val="0"/>
                <w:numId w:val="39"/>
              </w:numPr>
              <w:spacing w:after="0" w:line="240" w:lineRule="auto"/>
              <w:jc w:val="both"/>
              <w:rPr>
                <w:rFonts w:ascii="Arial" w:hAnsi="Arial" w:cs="Arial"/>
                <w:i/>
              </w:rPr>
            </w:pPr>
            <w:r w:rsidRPr="0093162F">
              <w:rPr>
                <w:rFonts w:ascii="Arial" w:hAnsi="Arial" w:cs="Arial"/>
                <w:i/>
                <w:lang w:val="en-US"/>
              </w:rPr>
              <w:t>Bq</w:t>
            </w:r>
            <w:r w:rsidRPr="0093162F">
              <w:rPr>
                <w:rFonts w:ascii="Arial" w:hAnsi="Arial" w:cs="Arial"/>
                <w:i/>
              </w:rPr>
              <w:t xml:space="preserve"> назначается при подтвержденной чувствительности МБТ к трем и более противотуберкулёзным препаратам из назначаемой комбинации. </w:t>
            </w:r>
          </w:p>
          <w:p w:rsidR="00A97587" w:rsidRPr="0093162F" w:rsidRDefault="00A97587" w:rsidP="0093162F">
            <w:pPr>
              <w:pStyle w:val="ListParagraph"/>
              <w:numPr>
                <w:ilvl w:val="0"/>
                <w:numId w:val="39"/>
              </w:numPr>
              <w:spacing w:after="0" w:line="240" w:lineRule="auto"/>
              <w:jc w:val="both"/>
              <w:rPr>
                <w:rFonts w:ascii="Arial" w:hAnsi="Arial" w:cs="Arial"/>
                <w:i/>
              </w:rPr>
            </w:pPr>
            <w:r w:rsidRPr="0093162F">
              <w:rPr>
                <w:rFonts w:ascii="Arial" w:hAnsi="Arial" w:cs="Arial"/>
                <w:i/>
                <w:lang w:val="en-US"/>
              </w:rPr>
              <w:t>Bq</w:t>
            </w:r>
            <w:r w:rsidRPr="0093162F">
              <w:rPr>
                <w:rFonts w:ascii="Arial" w:hAnsi="Arial" w:cs="Arial"/>
                <w:i/>
              </w:rPr>
              <w:t xml:space="preserve"> применяется в течение 6 месяцев. </w:t>
            </w:r>
          </w:p>
          <w:p w:rsidR="00A97587" w:rsidRPr="0093162F" w:rsidRDefault="00A97587" w:rsidP="0093162F">
            <w:pPr>
              <w:pStyle w:val="ListParagraph"/>
              <w:numPr>
                <w:ilvl w:val="0"/>
                <w:numId w:val="39"/>
              </w:numPr>
              <w:spacing w:after="0" w:line="240" w:lineRule="auto"/>
              <w:jc w:val="both"/>
              <w:rPr>
                <w:rFonts w:ascii="Arial" w:hAnsi="Arial" w:cs="Arial"/>
                <w:i/>
              </w:rPr>
            </w:pPr>
            <w:r w:rsidRPr="0093162F">
              <w:rPr>
                <w:rFonts w:ascii="Arial" w:hAnsi="Arial" w:cs="Arial"/>
                <w:i/>
                <w:lang w:val="en-US"/>
              </w:rPr>
              <w:t>Bq</w:t>
            </w:r>
            <w:r w:rsidRPr="0093162F">
              <w:rPr>
                <w:rFonts w:ascii="Arial" w:hAnsi="Arial" w:cs="Arial"/>
                <w:i/>
              </w:rPr>
              <w:t xml:space="preserve"> не рекомендуется применять с </w:t>
            </w:r>
            <w:r w:rsidRPr="0093162F">
              <w:rPr>
                <w:rFonts w:ascii="Arial" w:hAnsi="Arial" w:cs="Arial"/>
                <w:i/>
                <w:lang w:val="en-US"/>
              </w:rPr>
              <w:t>Mfx</w:t>
            </w:r>
            <w:r w:rsidRPr="0093162F">
              <w:rPr>
                <w:rFonts w:ascii="Arial" w:hAnsi="Arial" w:cs="Arial"/>
                <w:i/>
              </w:rPr>
              <w:t xml:space="preserve"> в связи </w:t>
            </w:r>
            <w:r w:rsidRPr="0093162F">
              <w:rPr>
                <w:rFonts w:ascii="Arial" w:hAnsi="Arial" w:cs="Arial"/>
                <w:i/>
                <w:lang w:val="en-US"/>
              </w:rPr>
              <w:t>c</w:t>
            </w:r>
            <w:r w:rsidRPr="0093162F">
              <w:rPr>
                <w:rFonts w:ascii="Arial" w:hAnsi="Arial" w:cs="Arial"/>
                <w:i/>
              </w:rPr>
              <w:t xml:space="preserve"> риском развития осложнений со стороны сердечно-сосудистой системы. </w:t>
            </w:r>
          </w:p>
          <w:p w:rsidR="00A97587" w:rsidRPr="0093162F" w:rsidRDefault="00A97587" w:rsidP="0093162F">
            <w:pPr>
              <w:pStyle w:val="ListParagraph"/>
              <w:numPr>
                <w:ilvl w:val="0"/>
                <w:numId w:val="39"/>
              </w:numPr>
              <w:spacing w:after="0" w:line="240" w:lineRule="auto"/>
              <w:jc w:val="both"/>
              <w:rPr>
                <w:rFonts w:ascii="Arial" w:hAnsi="Arial" w:cs="Arial"/>
                <w:i/>
              </w:rPr>
            </w:pPr>
            <w:r w:rsidRPr="0093162F">
              <w:rPr>
                <w:rFonts w:ascii="Arial" w:hAnsi="Arial" w:cs="Arial"/>
                <w:i/>
              </w:rPr>
              <w:t>Данные о</w:t>
            </w:r>
            <w:r>
              <w:rPr>
                <w:rFonts w:ascii="Arial" w:hAnsi="Arial" w:cs="Arial"/>
                <w:i/>
              </w:rPr>
              <w:t xml:space="preserve"> </w:t>
            </w:r>
            <w:r w:rsidRPr="0093162F">
              <w:rPr>
                <w:rFonts w:ascii="Arial" w:hAnsi="Arial" w:cs="Arial"/>
                <w:i/>
              </w:rPr>
              <w:t xml:space="preserve">фармакокинетике </w:t>
            </w:r>
            <w:r w:rsidRPr="0093162F">
              <w:rPr>
                <w:rFonts w:ascii="Arial" w:hAnsi="Arial" w:cs="Arial"/>
                <w:i/>
                <w:lang w:val="en-US"/>
              </w:rPr>
              <w:t>Bq</w:t>
            </w:r>
            <w:r w:rsidRPr="0093162F">
              <w:rPr>
                <w:rFonts w:ascii="Arial" w:hAnsi="Arial" w:cs="Arial"/>
                <w:i/>
              </w:rPr>
              <w:t xml:space="preserve"> у больных ВИЧ-инфекцией ограничены. Препарат противопоказан при беременности и в период лактации, детям до 18 лет и пациентам старше 65 лет, а также при тяжел</w:t>
            </w:r>
            <w:r>
              <w:rPr>
                <w:rFonts w:ascii="Arial" w:hAnsi="Arial" w:cs="Arial"/>
                <w:i/>
              </w:rPr>
              <w:t>ом течении</w:t>
            </w:r>
            <w:r w:rsidRPr="0093162F">
              <w:rPr>
                <w:rFonts w:ascii="Arial" w:hAnsi="Arial" w:cs="Arial"/>
                <w:i/>
              </w:rPr>
              <w:t xml:space="preserve"> почечной и печеночной недостаточност</w:t>
            </w:r>
            <w:r>
              <w:rPr>
                <w:rFonts w:ascii="Arial" w:hAnsi="Arial" w:cs="Arial"/>
                <w:i/>
              </w:rPr>
              <w:t>ей</w:t>
            </w:r>
            <w:r w:rsidRPr="0093162F">
              <w:rPr>
                <w:rFonts w:ascii="Arial" w:hAnsi="Arial" w:cs="Arial"/>
                <w:i/>
              </w:rPr>
              <w:t>.</w:t>
            </w:r>
          </w:p>
          <w:p w:rsidR="00A97587" w:rsidRPr="00840166" w:rsidRDefault="00A97587" w:rsidP="0093162F">
            <w:pPr>
              <w:pStyle w:val="a0"/>
              <w:rPr>
                <w:rFonts w:ascii="Arial" w:hAnsi="Arial"/>
                <w:i/>
              </w:rPr>
            </w:pPr>
          </w:p>
        </w:tc>
      </w:tr>
    </w:tbl>
    <w:p w:rsidR="00A97587" w:rsidRDefault="00A97587" w:rsidP="000B4017">
      <w:pPr>
        <w:spacing w:after="0" w:line="240" w:lineRule="auto"/>
        <w:jc w:val="both"/>
        <w:rPr>
          <w:sz w:val="20"/>
          <w:szCs w:val="20"/>
        </w:rPr>
      </w:pPr>
    </w:p>
    <w:p w:rsidR="00A97587" w:rsidRDefault="00A97587" w:rsidP="000B4017">
      <w:pPr>
        <w:spacing w:after="0" w:line="240" w:lineRule="auto"/>
        <w:jc w:val="both"/>
        <w:rPr>
          <w:sz w:val="20"/>
          <w:szCs w:val="20"/>
        </w:rPr>
      </w:pPr>
    </w:p>
    <w:p w:rsidR="00A97587" w:rsidRPr="00357805" w:rsidRDefault="00A97587" w:rsidP="000B4017">
      <w:pPr>
        <w:spacing w:after="0" w:line="240" w:lineRule="auto"/>
        <w:jc w:val="both"/>
        <w:rPr>
          <w:sz w:val="20"/>
          <w:szCs w:val="20"/>
        </w:rPr>
      </w:pPr>
    </w:p>
    <w:tbl>
      <w:tblPr>
        <w:tblW w:w="0" w:type="auto"/>
        <w:tblLook w:val="0000"/>
      </w:tblPr>
      <w:tblGrid>
        <w:gridCol w:w="648"/>
        <w:gridCol w:w="8922"/>
      </w:tblGrid>
      <w:tr w:rsidR="00A97587" w:rsidTr="00840166">
        <w:tc>
          <w:tcPr>
            <w:tcW w:w="648" w:type="dxa"/>
            <w:shd w:val="clear" w:color="auto" w:fill="8C8C8C"/>
            <w:vAlign w:val="center"/>
          </w:tcPr>
          <w:p w:rsidR="00A97587" w:rsidRPr="00571FB9" w:rsidRDefault="00A97587">
            <w:pPr>
              <w:pStyle w:val="a0"/>
              <w:spacing w:before="60" w:after="60"/>
              <w:jc w:val="center"/>
              <w:rPr>
                <w:rFonts w:ascii="Arial" w:hAnsi="Arial"/>
                <w:b/>
                <w:color w:val="FFFFFF"/>
                <w:lang w:val="en-US"/>
              </w:rPr>
            </w:pPr>
            <w:r>
              <w:rPr>
                <w:rFonts w:ascii="Arial" w:hAnsi="Arial"/>
                <w:b/>
                <w:color w:val="FFFFFF"/>
                <w:lang w:val="en-US"/>
              </w:rPr>
              <w:t>D</w:t>
            </w:r>
          </w:p>
        </w:tc>
        <w:tc>
          <w:tcPr>
            <w:tcW w:w="8922" w:type="dxa"/>
            <w:vAlign w:val="center"/>
          </w:tcPr>
          <w:p w:rsidR="00A97587" w:rsidRPr="00840166" w:rsidRDefault="00A97587" w:rsidP="00357805">
            <w:pPr>
              <w:pStyle w:val="a0"/>
              <w:rPr>
                <w:rFonts w:ascii="Arial" w:hAnsi="Arial"/>
                <w:i/>
              </w:rPr>
            </w:pPr>
            <w:r>
              <w:rPr>
                <w:rFonts w:ascii="Arial" w:hAnsi="Arial"/>
                <w:i/>
              </w:rPr>
              <w:t>Глутамил-Цистеин-Глицин-динатрия (Глутоксим) потенцирует действие средств химиотерапии (изониазид, рифампицин, рифабутин, циклосерин, капреомицин, левофлоксацин) на МБТ.</w:t>
            </w:r>
          </w:p>
        </w:tc>
      </w:tr>
    </w:tbl>
    <w:p w:rsidR="00A97587" w:rsidRPr="009169EF" w:rsidRDefault="00A97587" w:rsidP="007623CB">
      <w:pPr>
        <w:spacing w:before="240"/>
        <w:ind w:firstLine="709"/>
        <w:jc w:val="both"/>
        <w:rPr>
          <w:rFonts w:ascii="Times New Roman" w:hAnsi="Times New Roman"/>
          <w:b/>
          <w:bCs/>
          <w:sz w:val="24"/>
          <w:szCs w:val="24"/>
        </w:rPr>
      </w:pPr>
      <w:r w:rsidRPr="009169EF">
        <w:rPr>
          <w:rFonts w:ascii="Times New Roman" w:hAnsi="Times New Roman"/>
          <w:sz w:val="24"/>
          <w:szCs w:val="24"/>
        </w:rPr>
        <w:t>В составе комплексной терапии туберкулеза глутамил-</w:t>
      </w:r>
      <w:r>
        <w:rPr>
          <w:rFonts w:ascii="Times New Roman" w:hAnsi="Times New Roman"/>
          <w:sz w:val="24"/>
          <w:szCs w:val="24"/>
        </w:rPr>
        <w:t>ц</w:t>
      </w:r>
      <w:r w:rsidRPr="009169EF">
        <w:rPr>
          <w:rFonts w:ascii="Times New Roman" w:hAnsi="Times New Roman"/>
          <w:sz w:val="24"/>
          <w:szCs w:val="24"/>
        </w:rPr>
        <w:t>истеин-</w:t>
      </w:r>
      <w:r>
        <w:rPr>
          <w:rFonts w:ascii="Times New Roman" w:hAnsi="Times New Roman"/>
          <w:sz w:val="24"/>
          <w:szCs w:val="24"/>
        </w:rPr>
        <w:t>г</w:t>
      </w:r>
      <w:r w:rsidRPr="009169EF">
        <w:rPr>
          <w:rFonts w:ascii="Times New Roman" w:hAnsi="Times New Roman"/>
          <w:sz w:val="24"/>
          <w:szCs w:val="24"/>
        </w:rPr>
        <w:t xml:space="preserve">лицин-динатрия (глутоксим) 60 мг вводят 1 раз в сутки первые 10 дней ежедневно внутримышечно, последующие 20 дней </w:t>
      </w:r>
      <w:r>
        <w:rPr>
          <w:rFonts w:ascii="Times New Roman" w:hAnsi="Times New Roman"/>
          <w:sz w:val="24"/>
          <w:szCs w:val="24"/>
        </w:rPr>
        <w:t>г</w:t>
      </w:r>
      <w:r w:rsidRPr="009169EF">
        <w:rPr>
          <w:rFonts w:ascii="Times New Roman" w:hAnsi="Times New Roman"/>
          <w:sz w:val="24"/>
          <w:szCs w:val="24"/>
        </w:rPr>
        <w:t>лутоксим 60 мг вводят внутримышечно через день, одна инъекция в сутки.</w:t>
      </w:r>
      <w:r>
        <w:rPr>
          <w:rFonts w:ascii="Times New Roman" w:hAnsi="Times New Roman"/>
          <w:sz w:val="24"/>
          <w:szCs w:val="24"/>
        </w:rPr>
        <w:t xml:space="preserve"> </w:t>
      </w:r>
      <w:r w:rsidRPr="009169EF">
        <w:rPr>
          <w:rFonts w:ascii="Times New Roman" w:hAnsi="Times New Roman"/>
          <w:sz w:val="24"/>
          <w:szCs w:val="24"/>
        </w:rPr>
        <w:t>При необходимости проводят повторный курс лечения через 1-6 месяцев.</w:t>
      </w:r>
    </w:p>
    <w:p w:rsidR="00A97587" w:rsidRPr="00192261" w:rsidRDefault="00A97587" w:rsidP="000B4017">
      <w:pPr>
        <w:pStyle w:val="BodyText"/>
        <w:rPr>
          <w:lang w:val="ru-RU"/>
        </w:rPr>
      </w:pPr>
      <w:r w:rsidRPr="00192261">
        <w:rPr>
          <w:b/>
          <w:lang w:val="ru-RU"/>
        </w:rPr>
        <w:t>Первый (</w:t>
      </w:r>
      <w:r w:rsidRPr="001B6517">
        <w:rPr>
          <w:b/>
        </w:rPr>
        <w:t>I</w:t>
      </w:r>
      <w:r w:rsidRPr="00192261">
        <w:rPr>
          <w:b/>
          <w:lang w:val="ru-RU"/>
        </w:rPr>
        <w:t>) режим химиотерапии</w:t>
      </w:r>
      <w:r w:rsidRPr="00192261">
        <w:rPr>
          <w:lang w:val="ru-RU"/>
        </w:rPr>
        <w:t xml:space="preserve"> - режим химиотерапии </w:t>
      </w:r>
      <w:r w:rsidRPr="00192261">
        <w:rPr>
          <w:b/>
          <w:i/>
          <w:lang w:val="ru-RU"/>
        </w:rPr>
        <w:t xml:space="preserve">лекарственно чувствительного туберкулеза </w:t>
      </w:r>
      <w:r w:rsidRPr="00192261">
        <w:rPr>
          <w:lang w:val="ru-RU"/>
        </w:rPr>
        <w:t>назначают больным туберкулезом органов дыхания с бактериовыделением любым установленным методом (бактериоскопия, посев на жидкие или твердые среды, молекулярно-генетические исследования) и больным туберкулезом внелегочных локализаций:</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Cs/>
          <w:sz w:val="24"/>
          <w:szCs w:val="24"/>
        </w:rPr>
      </w:pPr>
      <w:r w:rsidRPr="00192261">
        <w:rPr>
          <w:rFonts w:ascii="Times New Roman" w:hAnsi="Times New Roman"/>
          <w:bCs/>
          <w:sz w:val="24"/>
          <w:szCs w:val="24"/>
        </w:rPr>
        <w:t xml:space="preserve">всем больным </w:t>
      </w:r>
      <w:r w:rsidRPr="00192261">
        <w:rPr>
          <w:rFonts w:ascii="Times New Roman" w:hAnsi="Times New Roman"/>
          <w:sz w:val="24"/>
          <w:szCs w:val="24"/>
        </w:rPr>
        <w:t>с сохраненной чувствительностью МБТ к изониазиду и рифампицину (по данным ТЛЧ от начала настоящего курса химиотерапии).</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sz w:val="24"/>
          <w:szCs w:val="24"/>
        </w:rPr>
      </w:pPr>
      <w:r w:rsidRPr="00192261">
        <w:rPr>
          <w:rFonts w:ascii="Times New Roman" w:hAnsi="Times New Roman"/>
          <w:bCs/>
          <w:sz w:val="24"/>
          <w:szCs w:val="24"/>
        </w:rPr>
        <w:t xml:space="preserve">впервые выявленным больным </w:t>
      </w:r>
      <w:r w:rsidRPr="00192261">
        <w:rPr>
          <w:rFonts w:ascii="Times New Roman" w:hAnsi="Times New Roman"/>
          <w:sz w:val="24"/>
          <w:szCs w:val="24"/>
        </w:rPr>
        <w:t>до получения данных ТЛЧ возбудителя</w:t>
      </w:r>
      <w:r w:rsidRPr="00192261">
        <w:rPr>
          <w:rFonts w:ascii="Times New Roman" w:hAnsi="Times New Roman"/>
          <w:bCs/>
          <w:sz w:val="24"/>
          <w:szCs w:val="24"/>
        </w:rPr>
        <w:t xml:space="preserve">, кроме заболевших из достоверного контакта с больным МЛУ ТБ; </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
          <w:bCs/>
          <w:sz w:val="24"/>
          <w:szCs w:val="24"/>
        </w:rPr>
      </w:pPr>
      <w:r w:rsidRPr="00192261">
        <w:rPr>
          <w:rFonts w:ascii="Times New Roman" w:hAnsi="Times New Roman"/>
          <w:bCs/>
          <w:sz w:val="24"/>
          <w:szCs w:val="24"/>
        </w:rPr>
        <w:t>больным с рецидивами туберкулеза и другими случаями повторного лечения до получения данных ТЛЧ, если во время предыдущего курса лечения чувствительность МБТ к изониазиду и/или рифампицину была сохранена или не определялась.</w:t>
      </w:r>
    </w:p>
    <w:p w:rsidR="00A97587" w:rsidRPr="00192261" w:rsidRDefault="00A97587" w:rsidP="000B4017">
      <w:pPr>
        <w:pStyle w:val="BodyText"/>
        <w:rPr>
          <w:lang w:val="ru-RU"/>
        </w:rPr>
      </w:pPr>
      <w:r w:rsidRPr="00192261">
        <w:rPr>
          <w:bCs/>
          <w:lang w:val="ru-RU"/>
        </w:rPr>
        <w:t xml:space="preserve">Кроме того,  этот режим назначается </w:t>
      </w:r>
      <w:r w:rsidRPr="00192261">
        <w:rPr>
          <w:lang w:val="ru-RU"/>
        </w:rPr>
        <w:t xml:space="preserve">больным органов дыхания </w:t>
      </w:r>
      <w:r w:rsidRPr="00192261">
        <w:rPr>
          <w:b/>
          <w:i/>
          <w:lang w:val="ru-RU"/>
        </w:rPr>
        <w:t>без бактериовыделения и высокого риска МЛУ</w:t>
      </w:r>
      <w:r w:rsidRPr="00192261">
        <w:rPr>
          <w:lang w:val="ru-RU"/>
        </w:rPr>
        <w:t>:</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Cs/>
          <w:sz w:val="24"/>
          <w:szCs w:val="24"/>
        </w:rPr>
      </w:pPr>
      <w:r w:rsidRPr="00192261">
        <w:rPr>
          <w:rFonts w:ascii="Times New Roman" w:hAnsi="Times New Roman"/>
          <w:bCs/>
          <w:sz w:val="24"/>
          <w:szCs w:val="24"/>
        </w:rPr>
        <w:t>впервые выявленным больным, кроме заболевших из достоверного контакта с больным МЛУ ТБ;</w:t>
      </w:r>
    </w:p>
    <w:p w:rsidR="00A97587" w:rsidRDefault="00A97587" w:rsidP="007623CB">
      <w:pPr>
        <w:numPr>
          <w:ilvl w:val="1"/>
          <w:numId w:val="11"/>
        </w:numPr>
        <w:tabs>
          <w:tab w:val="num" w:pos="709"/>
        </w:tabs>
        <w:spacing w:after="120" w:line="240" w:lineRule="auto"/>
        <w:ind w:left="709" w:hanging="357"/>
        <w:jc w:val="both"/>
        <w:rPr>
          <w:rFonts w:ascii="Times New Roman" w:hAnsi="Times New Roman"/>
          <w:bCs/>
          <w:sz w:val="24"/>
          <w:szCs w:val="24"/>
        </w:rPr>
      </w:pPr>
      <w:r w:rsidRPr="00192261">
        <w:rPr>
          <w:rFonts w:ascii="Times New Roman" w:hAnsi="Times New Roman"/>
          <w:bCs/>
          <w:sz w:val="24"/>
          <w:szCs w:val="24"/>
        </w:rPr>
        <w:t xml:space="preserve"> больным с рецидивами туберкулеза и другими случаями повторного лечения до получения данных ТЛЧ, если во время предыдущего курса лечения чувствительность МБТ к изониазиду и/или рифампицину была сохранена или не определялась.</w:t>
      </w:r>
    </w:p>
    <w:tbl>
      <w:tblPr>
        <w:tblW w:w="0" w:type="auto"/>
        <w:tblLook w:val="0000"/>
      </w:tblPr>
      <w:tblGrid>
        <w:gridCol w:w="648"/>
        <w:gridCol w:w="8922"/>
      </w:tblGrid>
      <w:tr w:rsidR="00A97587" w:rsidTr="004A2C70">
        <w:tc>
          <w:tcPr>
            <w:tcW w:w="648" w:type="dxa"/>
            <w:shd w:val="clear" w:color="auto" w:fill="8C8C8C"/>
            <w:vAlign w:val="center"/>
          </w:tcPr>
          <w:p w:rsidR="00A97587" w:rsidRDefault="00A97587" w:rsidP="004A2C70">
            <w:pPr>
              <w:pStyle w:val="a0"/>
              <w:spacing w:before="60" w:after="60"/>
              <w:jc w:val="center"/>
              <w:rPr>
                <w:rFonts w:ascii="Arial" w:hAnsi="Arial"/>
                <w:b/>
                <w:color w:val="FFFFFF"/>
              </w:rPr>
            </w:pPr>
            <w:r>
              <w:rPr>
                <w:rFonts w:ascii="Arial" w:hAnsi="Arial"/>
                <w:b/>
                <w:color w:val="FFFFFF"/>
              </w:rPr>
              <w:t>С</w:t>
            </w:r>
          </w:p>
        </w:tc>
        <w:tc>
          <w:tcPr>
            <w:tcW w:w="8922" w:type="dxa"/>
            <w:vAlign w:val="center"/>
          </w:tcPr>
          <w:p w:rsidR="00A97587" w:rsidRPr="00571FB9" w:rsidRDefault="00A97587" w:rsidP="004A2C70">
            <w:pPr>
              <w:autoSpaceDE w:val="0"/>
              <w:autoSpaceDN w:val="0"/>
              <w:adjustRightInd w:val="0"/>
              <w:spacing w:after="0" w:line="240" w:lineRule="auto"/>
              <w:rPr>
                <w:rFonts w:ascii="Arial" w:hAnsi="Arial" w:cs="Cambria"/>
                <w:i/>
                <w:lang w:eastAsia="ru-RU"/>
              </w:rPr>
            </w:pPr>
            <w:r w:rsidRPr="00A42A8B">
              <w:rPr>
                <w:rFonts w:ascii="Arial" w:hAnsi="Arial" w:cs="Cambria"/>
                <w:i/>
                <w:lang w:eastAsia="ru-RU"/>
              </w:rPr>
              <w:t>Пациенты с лекарственной чувствительностью возбудителя должны получать 6-месячный режим химиотерапии :</w:t>
            </w:r>
          </w:p>
          <w:p w:rsidR="00A97587" w:rsidRPr="00571FB9" w:rsidRDefault="00A97587" w:rsidP="004A2C70">
            <w:pPr>
              <w:autoSpaceDE w:val="0"/>
              <w:autoSpaceDN w:val="0"/>
              <w:adjustRightInd w:val="0"/>
              <w:spacing w:after="0" w:line="240" w:lineRule="auto"/>
              <w:rPr>
                <w:rFonts w:ascii="Arial" w:hAnsi="Arial" w:cs="Cambria"/>
                <w:i/>
                <w:lang w:eastAsia="ru-RU"/>
              </w:rPr>
            </w:pPr>
            <w:r w:rsidRPr="00A42A8B">
              <w:rPr>
                <w:rFonts w:ascii="Arial" w:hAnsi="Arial" w:cs="Cambria"/>
                <w:i/>
                <w:lang w:eastAsia="ru-RU"/>
              </w:rPr>
              <w:t xml:space="preserve">интенсивная фаза </w:t>
            </w:r>
            <w:r>
              <w:rPr>
                <w:rFonts w:ascii="Arial" w:hAnsi="Arial" w:cs="Cambria"/>
                <w:i/>
                <w:lang w:eastAsia="ru-RU"/>
              </w:rPr>
              <w:t>–</w:t>
            </w:r>
            <w:r w:rsidRPr="00A42A8B">
              <w:rPr>
                <w:rFonts w:ascii="Arial" w:hAnsi="Arial" w:cs="Cambria"/>
                <w:i/>
                <w:lang w:eastAsia="ru-RU"/>
              </w:rPr>
              <w:t xml:space="preserve"> не менее 2 месяцев изониазид, рифампицин, пиразинамид,</w:t>
            </w:r>
          </w:p>
          <w:p w:rsidR="00A97587" w:rsidRPr="00571FB9" w:rsidRDefault="00A97587" w:rsidP="004A2C70">
            <w:pPr>
              <w:autoSpaceDE w:val="0"/>
              <w:autoSpaceDN w:val="0"/>
              <w:adjustRightInd w:val="0"/>
              <w:spacing w:after="0" w:line="240" w:lineRule="auto"/>
              <w:rPr>
                <w:rFonts w:ascii="Arial" w:hAnsi="Arial" w:cs="Cambria"/>
                <w:i/>
                <w:lang w:eastAsia="ru-RU"/>
              </w:rPr>
            </w:pPr>
            <w:r w:rsidRPr="00A42A8B">
              <w:rPr>
                <w:rFonts w:ascii="Arial" w:hAnsi="Arial" w:cs="Cambria"/>
                <w:i/>
                <w:lang w:eastAsia="ru-RU"/>
              </w:rPr>
              <w:t>этамбутол;</w:t>
            </w:r>
          </w:p>
          <w:p w:rsidR="00A97587" w:rsidRPr="004A2C70" w:rsidRDefault="00A97587" w:rsidP="004A2C70">
            <w:pPr>
              <w:pStyle w:val="a0"/>
              <w:rPr>
                <w:rFonts w:ascii="Arial" w:hAnsi="Arial"/>
                <w:i/>
              </w:rPr>
            </w:pPr>
            <w:r w:rsidRPr="00A42A8B">
              <w:rPr>
                <w:rFonts w:ascii="Arial" w:hAnsi="Arial" w:cs="Cambria"/>
                <w:i/>
                <w:lang w:eastAsia="ru-RU"/>
              </w:rPr>
              <w:t xml:space="preserve">фаза продолжения лечения </w:t>
            </w:r>
            <w:r>
              <w:rPr>
                <w:rFonts w:ascii="Arial" w:hAnsi="Arial" w:cs="Cambria"/>
                <w:i/>
                <w:lang w:eastAsia="ru-RU"/>
              </w:rPr>
              <w:t>–</w:t>
            </w:r>
            <w:r w:rsidRPr="00A42A8B">
              <w:rPr>
                <w:rFonts w:ascii="Arial" w:hAnsi="Arial" w:cs="Cambria"/>
                <w:i/>
                <w:lang w:eastAsia="ru-RU"/>
              </w:rPr>
              <w:t xml:space="preserve"> 4 месяца как минимум изониазид и рифампицин</w:t>
            </w:r>
          </w:p>
        </w:tc>
      </w:tr>
      <w:tr w:rsidR="00A97587" w:rsidTr="004A2C70">
        <w:tc>
          <w:tcPr>
            <w:tcW w:w="648" w:type="dxa"/>
            <w:shd w:val="clear" w:color="auto" w:fill="8C8C8C"/>
            <w:vAlign w:val="center"/>
          </w:tcPr>
          <w:p w:rsidR="00A97587" w:rsidRDefault="00A97587">
            <w:pPr>
              <w:pStyle w:val="a0"/>
              <w:jc w:val="center"/>
              <w:rPr>
                <w:rFonts w:ascii="Arial" w:hAnsi="Arial"/>
                <w:b/>
                <w:color w:val="FFFFFF"/>
              </w:rPr>
            </w:pPr>
            <w:r>
              <w:rPr>
                <w:rFonts w:ascii="Arial" w:hAnsi="Arial"/>
                <w:b/>
                <w:color w:val="FFFFFF"/>
              </w:rPr>
              <w:t>С</w:t>
            </w:r>
          </w:p>
        </w:tc>
        <w:tc>
          <w:tcPr>
            <w:tcW w:w="8922" w:type="dxa"/>
            <w:vAlign w:val="center"/>
          </w:tcPr>
          <w:p w:rsidR="00A97587" w:rsidRPr="004A2C70" w:rsidRDefault="00A97587" w:rsidP="004A2C70">
            <w:pPr>
              <w:pStyle w:val="a0"/>
              <w:rPr>
                <w:rFonts w:ascii="Arial" w:hAnsi="Arial"/>
                <w:i/>
              </w:rPr>
            </w:pPr>
            <w:r w:rsidRPr="00A42A8B">
              <w:rPr>
                <w:rFonts w:ascii="Arial" w:hAnsi="Arial" w:cs="Cambria"/>
                <w:i/>
                <w:lang w:eastAsia="ru-RU"/>
              </w:rPr>
              <w:t>Рекомендуется ежедневный прием противотуберкулезных препаратов в течение всего курса лечения. Назначение интермиттирующего режима химиотерапии в фазе</w:t>
            </w:r>
            <w:r>
              <w:rPr>
                <w:rFonts w:ascii="Arial" w:hAnsi="Arial" w:cs="Cambria"/>
                <w:i/>
                <w:lang w:eastAsia="ru-RU"/>
              </w:rPr>
              <w:t xml:space="preserve"> </w:t>
            </w:r>
            <w:r w:rsidRPr="00A42A8B">
              <w:rPr>
                <w:rFonts w:ascii="Arial" w:hAnsi="Arial" w:cs="Cambria"/>
                <w:i/>
                <w:lang w:eastAsia="ru-RU"/>
              </w:rPr>
              <w:t>продолжения лечения не рекомендуется.</w:t>
            </w:r>
          </w:p>
        </w:tc>
      </w:tr>
    </w:tbl>
    <w:p w:rsidR="00A97587" w:rsidRPr="00192261" w:rsidRDefault="00A97587" w:rsidP="000B4017">
      <w:pPr>
        <w:pStyle w:val="BodyText"/>
        <w:rPr>
          <w:lang w:val="ru-RU"/>
        </w:rPr>
      </w:pPr>
      <w:r w:rsidRPr="00192261">
        <w:rPr>
          <w:b/>
          <w:i/>
          <w:lang w:val="ru-RU"/>
        </w:rPr>
        <w:t>В фазе интенсивной терапии</w:t>
      </w:r>
      <w:r w:rsidRPr="00192261">
        <w:rPr>
          <w:lang w:val="ru-RU"/>
        </w:rPr>
        <w:t xml:space="preserve"> назначают 4 основных препарата: изониазид, рифампицин, пиразинамид и этамбутол. Рифабутин назначается вместо рифампицина при использовании в схеме антиретровирусного лечения ВИЧ-инфицированных пациентов ингибиторов протеазы и нуклеозидных ингибиторов обратной транскриптазы .</w:t>
      </w:r>
    </w:p>
    <w:p w:rsidR="00A97587" w:rsidRPr="00192261" w:rsidRDefault="00A97587" w:rsidP="000B4017">
      <w:pPr>
        <w:pStyle w:val="BodyText"/>
        <w:rPr>
          <w:lang w:val="ru-RU"/>
        </w:rPr>
      </w:pPr>
      <w:r w:rsidRPr="00192261">
        <w:rPr>
          <w:lang w:val="ru-RU"/>
        </w:rPr>
        <w:t>В интенсивной фазе к режиму  может быть присоединен стрептомицин. Стрептомицин не рекомендуется использовать при высоком уровне (50% и более)  первичной лекарственной устойчивости к этому препарату. При противопоказаниях к назначению пиразинамида в интенсивной фазе он исключается из режима химиотерапии, а длительность фазы продолжения увеличивается не менее чем на 3 месяца.</w:t>
      </w:r>
      <w:r w:rsidRPr="00192261">
        <w:rPr>
          <w:rFonts w:ascii="Courier New" w:hAnsi="Courier New" w:cs="Courier New"/>
          <w:lang w:val="ru-RU"/>
        </w:rPr>
        <w:t xml:space="preserve"> </w:t>
      </w:r>
    </w:p>
    <w:p w:rsidR="00A97587" w:rsidRPr="00192261" w:rsidRDefault="00A97587" w:rsidP="000B4017">
      <w:pPr>
        <w:pStyle w:val="BodyText"/>
        <w:rPr>
          <w:lang w:val="ru-RU"/>
        </w:rPr>
      </w:pPr>
      <w:r w:rsidRPr="00192261">
        <w:rPr>
          <w:lang w:val="ru-RU"/>
        </w:rPr>
        <w:t xml:space="preserve">Интенсивную фазу химиотерапии продолжают не менее 2 месяцев. За этот срок больной должен принять 60 суточных доз комбинации из 4 основных препаратов. </w:t>
      </w:r>
    </w:p>
    <w:p w:rsidR="00A97587" w:rsidRPr="00192261" w:rsidRDefault="00A97587" w:rsidP="000B4017">
      <w:pPr>
        <w:pStyle w:val="BodyText"/>
        <w:rPr>
          <w:lang w:val="ru-RU"/>
        </w:rPr>
      </w:pPr>
      <w:r w:rsidRPr="00192261">
        <w:rPr>
          <w:lang w:val="ru-RU"/>
        </w:rPr>
        <w:t xml:space="preserve">При отрицательных результатах микроскопии мокроты после 2 месяцев химиотерапии и положительной клинико-рентгенологической динамике переходят к фазе продолжения химиотерапии по решению ВК. </w:t>
      </w:r>
    </w:p>
    <w:p w:rsidR="00A97587" w:rsidRPr="00192261" w:rsidRDefault="00A97587" w:rsidP="000B4017">
      <w:pPr>
        <w:pStyle w:val="BodyText"/>
        <w:rPr>
          <w:lang w:val="ru-RU"/>
        </w:rPr>
      </w:pPr>
      <w:r w:rsidRPr="00192261">
        <w:rPr>
          <w:lang w:val="ru-RU"/>
        </w:rPr>
        <w:t>Решением ВК фаза интенсивной терапии может быть продлена свыше 60 доз:</w:t>
      </w:r>
    </w:p>
    <w:p w:rsidR="00A97587" w:rsidRPr="00192261" w:rsidRDefault="00A97587" w:rsidP="000B4017">
      <w:pPr>
        <w:numPr>
          <w:ilvl w:val="0"/>
          <w:numId w:val="12"/>
        </w:numPr>
        <w:tabs>
          <w:tab w:val="num" w:pos="426"/>
        </w:tabs>
        <w:spacing w:after="0" w:line="240" w:lineRule="auto"/>
        <w:ind w:left="426" w:hanging="426"/>
        <w:jc w:val="both"/>
        <w:rPr>
          <w:rFonts w:ascii="Times New Roman" w:hAnsi="Times New Roman"/>
          <w:sz w:val="24"/>
          <w:szCs w:val="24"/>
        </w:rPr>
      </w:pPr>
      <w:r w:rsidRPr="00192261">
        <w:rPr>
          <w:rFonts w:ascii="Times New Roman" w:hAnsi="Times New Roman"/>
          <w:sz w:val="24"/>
          <w:szCs w:val="24"/>
        </w:rPr>
        <w:t>На 1 месяц (до 90 доз), в том числе до получения результатов ТЛЧ – при отрицательных результатах микроскопии мокроты после 2 месяцев, но при отсутствии положительной клинико-рентгенологической динамики.</w:t>
      </w:r>
    </w:p>
    <w:p w:rsidR="00A97587" w:rsidRPr="00192261" w:rsidRDefault="00A97587" w:rsidP="000B4017">
      <w:pPr>
        <w:numPr>
          <w:ilvl w:val="0"/>
          <w:numId w:val="12"/>
        </w:numPr>
        <w:tabs>
          <w:tab w:val="num" w:pos="426"/>
        </w:tabs>
        <w:spacing w:after="0" w:line="240" w:lineRule="auto"/>
        <w:ind w:left="426" w:hanging="426"/>
        <w:jc w:val="both"/>
        <w:rPr>
          <w:rFonts w:ascii="Times New Roman" w:hAnsi="Times New Roman"/>
          <w:sz w:val="24"/>
          <w:szCs w:val="24"/>
        </w:rPr>
      </w:pPr>
      <w:r w:rsidRPr="00192261">
        <w:rPr>
          <w:rFonts w:ascii="Times New Roman" w:hAnsi="Times New Roman"/>
          <w:sz w:val="24"/>
          <w:szCs w:val="24"/>
        </w:rPr>
        <w:t>На 2 месяца (до 120 доз) – при тяжелом и осложненном течении туберкулеза любой локализации.</w:t>
      </w:r>
    </w:p>
    <w:p w:rsidR="00A97587" w:rsidRPr="00192261" w:rsidRDefault="00A97587" w:rsidP="000B4017">
      <w:pPr>
        <w:pStyle w:val="BodyText"/>
        <w:rPr>
          <w:lang w:val="ru-RU"/>
        </w:rPr>
      </w:pPr>
      <w:r w:rsidRPr="00192261">
        <w:rPr>
          <w:lang w:val="ru-RU"/>
        </w:rPr>
        <w:t xml:space="preserve">При получении данных о спектре лекарственной чувствительности возбудителя до окончания интенсивной фазы химиотерапии по решению ВК проводят коррекцию химиотерапии. </w:t>
      </w:r>
    </w:p>
    <w:p w:rsidR="00A97587" w:rsidRPr="00192261" w:rsidRDefault="00A97587" w:rsidP="000B4017">
      <w:pPr>
        <w:pStyle w:val="BodyText"/>
        <w:rPr>
          <w:lang w:val="ru-RU"/>
        </w:rPr>
      </w:pPr>
      <w:r w:rsidRPr="00192261">
        <w:rPr>
          <w:b/>
          <w:i/>
          <w:lang w:val="ru-RU"/>
        </w:rPr>
        <w:t>В фазе продолжения терапии</w:t>
      </w:r>
      <w:r w:rsidRPr="00192261">
        <w:rPr>
          <w:lang w:val="ru-RU"/>
        </w:rPr>
        <w:t xml:space="preserve"> назначают 2 или 3 основных препарата с обязательным включением изониазида и рифампицина.</w:t>
      </w:r>
    </w:p>
    <w:p w:rsidR="00A97587" w:rsidRPr="00192261" w:rsidRDefault="00A97587" w:rsidP="000B4017">
      <w:pPr>
        <w:pStyle w:val="BodyText"/>
        <w:rPr>
          <w:lang w:val="ru-RU"/>
        </w:rPr>
      </w:pPr>
      <w:r w:rsidRPr="00192261">
        <w:rPr>
          <w:lang w:val="ru-RU"/>
        </w:rPr>
        <w:t>При подтвержденной впервые выявленным пациентам лабораторными исследованиями чувствительности МБТ к изониазиду и рифампицину в фазе продолжения назначают 2 основных препарата – изониазид и рифампцин.</w:t>
      </w:r>
    </w:p>
    <w:p w:rsidR="00A97587" w:rsidRPr="00192261" w:rsidRDefault="00A97587" w:rsidP="000B4017">
      <w:pPr>
        <w:pStyle w:val="BodyText"/>
        <w:rPr>
          <w:lang w:val="ru-RU"/>
        </w:rPr>
      </w:pPr>
      <w:r w:rsidRPr="00192261">
        <w:rPr>
          <w:lang w:val="ru-RU"/>
        </w:rPr>
        <w:t>При распространенных формах туберкулеза любой локализации в фазе продолжения терапии назначают 3 основных препарата – изониазид, рифампцин и этамбутол – с той же продолжительностью фазы. При противопоказаниях к назначению этамбутола он заменяется на пиразинамид.</w:t>
      </w:r>
    </w:p>
    <w:p w:rsidR="00A97587" w:rsidRPr="00192261" w:rsidRDefault="00A97587" w:rsidP="000B4017">
      <w:pPr>
        <w:pStyle w:val="BodyText"/>
        <w:rPr>
          <w:lang w:val="ru-RU"/>
        </w:rPr>
      </w:pPr>
      <w:r w:rsidRPr="00192261">
        <w:rPr>
          <w:lang w:val="ru-RU"/>
        </w:rPr>
        <w:t>Фаза продолжения лечения при туберкулезе органов дыхания  и внелегочном туберкулезе должна проводиться не менее  4 месяцев (120 доз), при туберкулезном менингите и костно-суставном туберкулезе – не менее 12 месяцев (360 доз).</w:t>
      </w:r>
    </w:p>
    <w:p w:rsidR="00A97587" w:rsidRPr="00192261" w:rsidRDefault="00A97587" w:rsidP="000B4017">
      <w:pPr>
        <w:pStyle w:val="BodyText"/>
        <w:rPr>
          <w:lang w:val="ru-RU"/>
        </w:rPr>
      </w:pPr>
      <w:r w:rsidRPr="00192261">
        <w:rPr>
          <w:lang w:val="ru-RU"/>
        </w:rPr>
        <w:t xml:space="preserve">При отрицательной клинико-рентгенологической динамике процесса, а также сохранении или появлении бактериовыделения через 3 месяца контролируемого лечения необходимо повторить ТЛЧ молекулярно-генетическим методом и по его результатам принять решение о режиме терапии. </w:t>
      </w:r>
    </w:p>
    <w:p w:rsidR="00A97587" w:rsidRPr="00192261" w:rsidRDefault="00A97587" w:rsidP="000B4017">
      <w:pPr>
        <w:pStyle w:val="BodyText"/>
        <w:rPr>
          <w:lang w:val="ru-RU"/>
        </w:rPr>
      </w:pPr>
      <w:r w:rsidRPr="00192261">
        <w:rPr>
          <w:lang w:val="ru-RU"/>
        </w:rPr>
        <w:t xml:space="preserve">В редких случаях при невозможности проведения ускоренных ТЛЧ по решению ЦВК больной может быть переведен на </w:t>
      </w:r>
      <w:r w:rsidRPr="001B6517">
        <w:t>I</w:t>
      </w:r>
      <w:r>
        <w:t>II</w:t>
      </w:r>
      <w:r w:rsidRPr="00192261">
        <w:rPr>
          <w:lang w:val="ru-RU"/>
        </w:rPr>
        <w:t xml:space="preserve"> режим в случае выполнения следующих условий:</w:t>
      </w:r>
    </w:p>
    <w:p w:rsidR="00A97587" w:rsidRPr="00192261"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принято не менее 90 доз всех препаратов, составляющих режим интенсивной фазы,</w:t>
      </w:r>
    </w:p>
    <w:p w:rsidR="00A97587" w:rsidRPr="00192261"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лечение проводилось под строгим контролем,</w:t>
      </w:r>
    </w:p>
    <w:p w:rsidR="00A97587" w:rsidRPr="00192261"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отсутствуют другие причины неэффективности лечения: сопутствующие заболевания, побочные действия на прием препаратов и др.</w:t>
      </w:r>
    </w:p>
    <w:p w:rsidR="00A97587" w:rsidRPr="00192261"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обеспечена приверженность больного к лечению.</w:t>
      </w:r>
    </w:p>
    <w:p w:rsidR="00A97587" w:rsidRPr="00192261" w:rsidRDefault="00A97587" w:rsidP="007623CB">
      <w:pPr>
        <w:spacing w:before="240" w:line="240" w:lineRule="auto"/>
        <w:ind w:firstLine="357"/>
        <w:jc w:val="both"/>
        <w:rPr>
          <w:rFonts w:ascii="Times New Roman" w:hAnsi="Times New Roman"/>
          <w:sz w:val="24"/>
          <w:szCs w:val="24"/>
        </w:rPr>
      </w:pPr>
      <w:r w:rsidRPr="00192261">
        <w:rPr>
          <w:rFonts w:ascii="Times New Roman" w:hAnsi="Times New Roman"/>
          <w:sz w:val="24"/>
          <w:szCs w:val="24"/>
        </w:rPr>
        <w:t>При получении результата ТЛЧ проводится коррекция в зависимости от спектра ЛУ:</w:t>
      </w:r>
    </w:p>
    <w:p w:rsidR="00A97587" w:rsidRPr="00192261"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при ЛУ к изониазиду – начинается новый курс по II режиму химиотерапии;</w:t>
      </w:r>
    </w:p>
    <w:p w:rsidR="00A97587" w:rsidRPr="00192261"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при ЛУ к изониазиду и рифампицину или только к рифампицину – начинается новый курс по I</w:t>
      </w:r>
      <w:r w:rsidRPr="00192261">
        <w:rPr>
          <w:rFonts w:ascii="Times New Roman" w:hAnsi="Times New Roman"/>
          <w:sz w:val="24"/>
          <w:szCs w:val="24"/>
          <w:lang w:val="en-US"/>
        </w:rPr>
        <w:t>II</w:t>
      </w:r>
      <w:r w:rsidRPr="00192261">
        <w:rPr>
          <w:rFonts w:ascii="Times New Roman" w:hAnsi="Times New Roman"/>
          <w:sz w:val="24"/>
          <w:szCs w:val="24"/>
        </w:rPr>
        <w:t xml:space="preserve"> режиму химиотерапии</w:t>
      </w:r>
    </w:p>
    <w:p w:rsidR="00A97587" w:rsidRPr="00A0111B" w:rsidRDefault="00A97587" w:rsidP="000B4017">
      <w:pPr>
        <w:numPr>
          <w:ilvl w:val="0"/>
          <w:numId w:val="13"/>
        </w:numPr>
        <w:spacing w:after="0" w:line="240" w:lineRule="auto"/>
        <w:jc w:val="both"/>
        <w:rPr>
          <w:rFonts w:ascii="Times New Roman" w:hAnsi="Times New Roman"/>
          <w:sz w:val="24"/>
          <w:szCs w:val="24"/>
        </w:rPr>
      </w:pPr>
      <w:r w:rsidRPr="00192261">
        <w:rPr>
          <w:rFonts w:ascii="Times New Roman" w:hAnsi="Times New Roman"/>
          <w:sz w:val="24"/>
          <w:szCs w:val="24"/>
        </w:rPr>
        <w:t xml:space="preserve">при ЛУ к изониазиду, рифампицину, фторхинолону и одному из аминогликозидов/или полипептиду (канамицину или амикацину или капреомицину) одновременно – начинается </w:t>
      </w:r>
      <w:r>
        <w:rPr>
          <w:rFonts w:ascii="Times New Roman" w:hAnsi="Times New Roman"/>
          <w:sz w:val="24"/>
          <w:szCs w:val="24"/>
          <w:lang w:val="en-US"/>
        </w:rPr>
        <w:t>III</w:t>
      </w:r>
      <w:r w:rsidRPr="00192261">
        <w:rPr>
          <w:rFonts w:ascii="Times New Roman" w:hAnsi="Times New Roman"/>
          <w:sz w:val="24"/>
          <w:szCs w:val="24"/>
        </w:rPr>
        <w:t xml:space="preserve"> режим химиотерапии. </w:t>
      </w:r>
    </w:p>
    <w:p w:rsidR="00A97587" w:rsidRPr="00192261" w:rsidRDefault="00A97587" w:rsidP="000B4017">
      <w:pPr>
        <w:numPr>
          <w:ilvl w:val="0"/>
          <w:numId w:val="13"/>
        </w:numPr>
        <w:spacing w:after="0" w:line="240" w:lineRule="auto"/>
        <w:jc w:val="both"/>
        <w:rPr>
          <w:rFonts w:ascii="Times New Roman" w:hAnsi="Times New Roman"/>
          <w:sz w:val="24"/>
          <w:szCs w:val="24"/>
        </w:rPr>
      </w:pPr>
    </w:p>
    <w:p w:rsidR="00A97587" w:rsidRDefault="00A97587" w:rsidP="007623CB">
      <w:pPr>
        <w:pStyle w:val="BodyText"/>
        <w:spacing w:after="120"/>
        <w:rPr>
          <w:lang w:val="ru-RU"/>
        </w:rPr>
      </w:pPr>
      <w:r w:rsidRPr="00192261">
        <w:rPr>
          <w:b/>
          <w:lang w:val="ru-RU"/>
        </w:rPr>
        <w:t>Второй (</w:t>
      </w:r>
      <w:r w:rsidRPr="001B6517">
        <w:rPr>
          <w:b/>
        </w:rPr>
        <w:t>II</w:t>
      </w:r>
      <w:r w:rsidRPr="00192261">
        <w:rPr>
          <w:b/>
          <w:lang w:val="ru-RU"/>
        </w:rPr>
        <w:t xml:space="preserve">) режим химиотерапии назначают </w:t>
      </w:r>
      <w:r w:rsidRPr="00192261">
        <w:rPr>
          <w:lang w:val="ru-RU"/>
        </w:rPr>
        <w:t>всем больным с лекарственной устойчивостью МБТ по крайне мере к изониазиду, но не к сочетанию изониазида и рифампицина, по данным ТЛЧ на начало настоящего курса химиотерапии</w:t>
      </w:r>
      <w:r>
        <w:rPr>
          <w:lang w:val="ru-RU"/>
        </w:rPr>
        <w:t>.</w:t>
      </w:r>
    </w:p>
    <w:tbl>
      <w:tblPr>
        <w:tblW w:w="0" w:type="auto"/>
        <w:tblLook w:val="0000"/>
      </w:tblPr>
      <w:tblGrid>
        <w:gridCol w:w="648"/>
        <w:gridCol w:w="8922"/>
      </w:tblGrid>
      <w:tr w:rsidR="00A97587" w:rsidTr="00B96F8C">
        <w:tc>
          <w:tcPr>
            <w:tcW w:w="648" w:type="dxa"/>
            <w:shd w:val="clear" w:color="auto" w:fill="8C8C8C"/>
            <w:vAlign w:val="center"/>
          </w:tcPr>
          <w:p w:rsidR="00A97587" w:rsidRPr="00B96F8C" w:rsidRDefault="00A97587">
            <w:pPr>
              <w:pStyle w:val="a0"/>
              <w:spacing w:before="60" w:after="60"/>
              <w:jc w:val="center"/>
              <w:rPr>
                <w:rFonts w:ascii="Arial" w:hAnsi="Arial"/>
                <w:b/>
                <w:color w:val="FFFFFF"/>
              </w:rPr>
            </w:pPr>
            <w:r>
              <w:rPr>
                <w:rFonts w:ascii="Arial" w:hAnsi="Arial"/>
                <w:b/>
                <w:color w:val="FFFFFF"/>
                <w:lang w:val="en-US"/>
              </w:rPr>
              <w:t>D</w:t>
            </w:r>
          </w:p>
        </w:tc>
        <w:tc>
          <w:tcPr>
            <w:tcW w:w="8922" w:type="dxa"/>
            <w:vAlign w:val="center"/>
          </w:tcPr>
          <w:p w:rsidR="00A97587" w:rsidRPr="00B96F8C" w:rsidRDefault="00A97587" w:rsidP="00B96F8C">
            <w:pPr>
              <w:pStyle w:val="a0"/>
              <w:rPr>
                <w:rFonts w:ascii="Arial" w:hAnsi="Arial"/>
                <w:i/>
              </w:rPr>
            </w:pPr>
            <w:r w:rsidRPr="00A42A8B">
              <w:rPr>
                <w:rFonts w:ascii="Arial" w:hAnsi="Arial" w:cs="Cambria"/>
                <w:i/>
                <w:lang w:eastAsia="ru-RU"/>
              </w:rPr>
              <w:t>Второй (II) режим химиотерапии назначается только при известной лекарственной</w:t>
            </w:r>
            <w:r>
              <w:rPr>
                <w:rFonts w:ascii="Arial" w:hAnsi="Arial" w:cs="Cambria"/>
                <w:i/>
                <w:lang w:eastAsia="ru-RU"/>
              </w:rPr>
              <w:t xml:space="preserve"> </w:t>
            </w:r>
            <w:r w:rsidRPr="00A42A8B">
              <w:rPr>
                <w:rFonts w:ascii="Arial" w:hAnsi="Arial" w:cs="Cambria"/>
                <w:i/>
                <w:lang w:eastAsia="ru-RU"/>
              </w:rPr>
              <w:t>чувствительности к рифампицину, подтвержденной результатами культурального</w:t>
            </w:r>
            <w:r>
              <w:rPr>
                <w:rFonts w:ascii="Arial" w:hAnsi="Arial" w:cs="Cambria"/>
                <w:i/>
                <w:lang w:eastAsia="ru-RU"/>
              </w:rPr>
              <w:t xml:space="preserve"> </w:t>
            </w:r>
            <w:r w:rsidRPr="00A42A8B">
              <w:rPr>
                <w:rFonts w:ascii="Arial" w:hAnsi="Arial" w:cs="Cambria"/>
                <w:i/>
                <w:lang w:eastAsia="ru-RU"/>
              </w:rPr>
              <w:t>или 2-кратными результатами молекулярно-генетическ</w:t>
            </w:r>
            <w:r>
              <w:rPr>
                <w:rFonts w:ascii="Arial" w:hAnsi="Arial" w:cs="Cambria"/>
                <w:i/>
                <w:lang w:eastAsia="ru-RU"/>
              </w:rPr>
              <w:t>их</w:t>
            </w:r>
            <w:r w:rsidRPr="00A42A8B">
              <w:rPr>
                <w:rFonts w:ascii="Arial" w:hAnsi="Arial" w:cs="Cambria"/>
                <w:i/>
                <w:lang w:eastAsia="ru-RU"/>
              </w:rPr>
              <w:t xml:space="preserve"> методов (МГМ).</w:t>
            </w:r>
          </w:p>
        </w:tc>
      </w:tr>
    </w:tbl>
    <w:p w:rsidR="00A97587" w:rsidRPr="00192261" w:rsidRDefault="00A97587" w:rsidP="000B4017">
      <w:pPr>
        <w:pStyle w:val="BodyText"/>
        <w:rPr>
          <w:lang w:val="ru-RU"/>
        </w:rPr>
      </w:pPr>
      <w:r w:rsidRPr="00192261">
        <w:rPr>
          <w:lang w:val="ru-RU"/>
        </w:rPr>
        <w:t xml:space="preserve">При устойчивости к изониазиду назначают режим из 5-ти препаратов: рифампицин, пиразинамид, этамбутол, фторхинолон, аминогликозид (канамицин или амикацин)/или полипептид (капреомицин). Длительность лечения при устойчивости к изониазиду составляет не менее 9 месяцев (аминогликозид или полипептид назначается на 3 месяца интенсивной фазы лечения). </w:t>
      </w:r>
    </w:p>
    <w:p w:rsidR="00A97587" w:rsidRPr="00192261" w:rsidRDefault="00A97587" w:rsidP="000B4017">
      <w:pPr>
        <w:pStyle w:val="BodyText"/>
        <w:rPr>
          <w:lang w:val="ru-RU"/>
        </w:rPr>
      </w:pPr>
      <w:r w:rsidRPr="00192261">
        <w:rPr>
          <w:lang w:val="ru-RU"/>
        </w:rPr>
        <w:t xml:space="preserve">При устойчивости к изониазиду и этамбутолу назначают 4 препарата: рифампицин, пиразинамид, фторхинолон, аминогликозид (канамицин или амикацин) или полипептид (капреомицин). Длительность лечения при устойчивости к изониазиду и этамбутолу составляет 12 месяцев (аминогликозид или полипептид назначается на 3 месяца интенсивной фазы лечения). </w:t>
      </w:r>
    </w:p>
    <w:p w:rsidR="00A97587" w:rsidRPr="00192261" w:rsidRDefault="00A97587" w:rsidP="000B4017">
      <w:pPr>
        <w:pStyle w:val="BodyText"/>
        <w:rPr>
          <w:lang w:val="ru-RU"/>
        </w:rPr>
      </w:pPr>
      <w:r w:rsidRPr="00192261">
        <w:rPr>
          <w:lang w:val="ru-RU"/>
        </w:rPr>
        <w:t>При устойчивости к изониазиду и одному или более препаратам  резервного ряда (фторхинолону, аминогликозиду/капреомицину, протионамиду), препараты, к которым имеется резистентность микобактерий, больному не назначаются, а режим формируется в интенсивной фазе лечения как минимум из 4, а в фазе продолжения как минимум из 3 препаратов, к которым чувствительность возбудителя сохранена. Пиразинамид рекомендуется сохранять в режиме химиотерапии на протяжении всего курса лечения.</w:t>
      </w:r>
    </w:p>
    <w:p w:rsidR="00A97587" w:rsidRPr="00192261" w:rsidRDefault="00A97587" w:rsidP="000B4017">
      <w:pPr>
        <w:pStyle w:val="BodyText"/>
        <w:rPr>
          <w:lang w:val="ru-RU"/>
        </w:rPr>
      </w:pPr>
      <w:r w:rsidRPr="00192261">
        <w:rPr>
          <w:lang w:val="ru-RU"/>
        </w:rPr>
        <w:t xml:space="preserve">При выявлении лекарственной устойчивости к канамицину и/или амикацину, назначают капреомицин. </w:t>
      </w:r>
    </w:p>
    <w:p w:rsidR="00A97587" w:rsidRPr="00192261" w:rsidRDefault="00A97587" w:rsidP="000B4017">
      <w:pPr>
        <w:pStyle w:val="BodyText"/>
        <w:rPr>
          <w:lang w:val="ru-RU"/>
        </w:rPr>
      </w:pPr>
      <w:r w:rsidRPr="00192261">
        <w:rPr>
          <w:lang w:val="ru-RU"/>
        </w:rPr>
        <w:t>Пиразинамид включается во второй режим химиотерапии  на протяжении всего курса лечения.</w:t>
      </w:r>
    </w:p>
    <w:p w:rsidR="00A97587" w:rsidRPr="00192261" w:rsidRDefault="00A97587" w:rsidP="000B4017">
      <w:pPr>
        <w:pStyle w:val="BodyText"/>
        <w:rPr>
          <w:lang w:val="ru-RU"/>
        </w:rPr>
      </w:pPr>
      <w:r w:rsidRPr="00192261">
        <w:rPr>
          <w:lang w:val="ru-RU"/>
        </w:rPr>
        <w:t xml:space="preserve">Второй режим химиотерапии используется только при известной лекарственной чувствительности  к рифампицину, подтвержденной результатами культуральных </w:t>
      </w:r>
      <w:r w:rsidRPr="001B6517">
        <w:t> </w:t>
      </w:r>
      <w:r w:rsidRPr="00192261">
        <w:rPr>
          <w:lang w:val="ru-RU"/>
        </w:rPr>
        <w:t>или МГМ методов, и</w:t>
      </w:r>
      <w:r w:rsidRPr="001B6517">
        <w:t> </w:t>
      </w:r>
      <w:r w:rsidRPr="00192261">
        <w:rPr>
          <w:lang w:val="ru-RU"/>
        </w:rPr>
        <w:t>наличия данных ТЛЧ к этамбутолу и  канамицину.</w:t>
      </w:r>
    </w:p>
    <w:p w:rsidR="00A97587" w:rsidRPr="00192261" w:rsidRDefault="00A97587" w:rsidP="000B4017">
      <w:pPr>
        <w:pStyle w:val="BodyText"/>
        <w:rPr>
          <w:lang w:val="ru-RU"/>
        </w:rPr>
      </w:pPr>
      <w:r w:rsidRPr="00192261">
        <w:rPr>
          <w:lang w:val="ru-RU"/>
        </w:rPr>
        <w:t>В режим могут быть включены</w:t>
      </w:r>
      <w:r w:rsidRPr="001B6517">
        <w:t> </w:t>
      </w:r>
      <w:r w:rsidRPr="00192261">
        <w:rPr>
          <w:lang w:val="ru-RU"/>
        </w:rPr>
        <w:t>дополнительные противотуберкулезные препараты резерва по решению ЦВКК.</w:t>
      </w:r>
    </w:p>
    <w:p w:rsidR="00A97587" w:rsidRPr="00192261" w:rsidRDefault="00A97587" w:rsidP="000B4017">
      <w:pPr>
        <w:pStyle w:val="BodyText"/>
        <w:rPr>
          <w:lang w:val="ru-RU"/>
        </w:rPr>
      </w:pPr>
      <w:r w:rsidRPr="00192261">
        <w:rPr>
          <w:lang w:val="ru-RU"/>
        </w:rPr>
        <w:t>Второй режим не назначается в случаях расхождения данных различных ТЛЧ по рифампицину.</w:t>
      </w:r>
    </w:p>
    <w:p w:rsidR="00A97587" w:rsidRDefault="00A97587" w:rsidP="007623CB">
      <w:pPr>
        <w:pStyle w:val="BodyText"/>
        <w:spacing w:after="120"/>
        <w:rPr>
          <w:lang w:val="ru-RU"/>
        </w:rPr>
      </w:pPr>
      <w:r w:rsidRPr="00192261">
        <w:rPr>
          <w:b/>
          <w:lang w:val="ru-RU"/>
        </w:rPr>
        <w:t>Третий (</w:t>
      </w:r>
      <w:r w:rsidRPr="001B6517">
        <w:rPr>
          <w:b/>
        </w:rPr>
        <w:t>III</w:t>
      </w:r>
      <w:r w:rsidRPr="00192261">
        <w:rPr>
          <w:b/>
          <w:lang w:val="ru-RU"/>
        </w:rPr>
        <w:t xml:space="preserve">) режим химиотерапии (режим химиотерапии МЛУ туберкулеза) </w:t>
      </w:r>
      <w:r w:rsidRPr="00192261">
        <w:rPr>
          <w:lang w:val="ru-RU"/>
        </w:rPr>
        <w:t>назначают больным с установленной ЛУ к изониазиду и рифампицину одновременно или только к рифампицину.</w:t>
      </w:r>
    </w:p>
    <w:tbl>
      <w:tblPr>
        <w:tblW w:w="0" w:type="auto"/>
        <w:tblLook w:val="0000"/>
      </w:tblPr>
      <w:tblGrid>
        <w:gridCol w:w="648"/>
        <w:gridCol w:w="8922"/>
      </w:tblGrid>
      <w:tr w:rsidR="00A97587" w:rsidTr="00E25A02">
        <w:tc>
          <w:tcPr>
            <w:tcW w:w="648" w:type="dxa"/>
            <w:shd w:val="clear" w:color="auto" w:fill="8C8C8C"/>
            <w:vAlign w:val="center"/>
          </w:tcPr>
          <w:p w:rsidR="00A97587" w:rsidRDefault="00A97587">
            <w:pPr>
              <w:pStyle w:val="a0"/>
              <w:spacing w:before="60" w:after="60"/>
              <w:jc w:val="center"/>
              <w:rPr>
                <w:rFonts w:ascii="Arial" w:hAnsi="Arial"/>
                <w:b/>
                <w:color w:val="FFFFFF"/>
              </w:rPr>
            </w:pPr>
            <w:r>
              <w:rPr>
                <w:rFonts w:ascii="Arial" w:hAnsi="Arial"/>
                <w:b/>
                <w:color w:val="FFFFFF"/>
              </w:rPr>
              <w:t>С</w:t>
            </w:r>
          </w:p>
        </w:tc>
        <w:tc>
          <w:tcPr>
            <w:tcW w:w="8922" w:type="dxa"/>
            <w:vAlign w:val="center"/>
          </w:tcPr>
          <w:p w:rsidR="00A97587" w:rsidRPr="00E25A02" w:rsidRDefault="00A97587">
            <w:pPr>
              <w:pStyle w:val="a0"/>
              <w:rPr>
                <w:rFonts w:ascii="Arial" w:hAnsi="Arial"/>
                <w:i/>
                <w:szCs w:val="20"/>
              </w:rPr>
            </w:pPr>
            <w:r w:rsidRPr="00E25A02">
              <w:rPr>
                <w:rFonts w:ascii="Arial" w:hAnsi="Arial"/>
                <w:i/>
              </w:rPr>
              <w:t>Резистентность МБТ к рифампицину является маркером МЛУ ТБ</w:t>
            </w:r>
          </w:p>
        </w:tc>
      </w:tr>
    </w:tbl>
    <w:p w:rsidR="00A97587" w:rsidRPr="00192261" w:rsidRDefault="00A97587" w:rsidP="000B4017">
      <w:pPr>
        <w:pStyle w:val="BodyText"/>
        <w:rPr>
          <w:lang w:val="ru-RU"/>
        </w:rPr>
      </w:pPr>
      <w:r w:rsidRPr="00192261">
        <w:rPr>
          <w:lang w:val="ru-RU"/>
        </w:rPr>
        <w:t>Кроме того, по решению ЦВК туберкулезной больницы/</w:t>
      </w:r>
      <w:r>
        <w:rPr>
          <w:lang w:val="ru-RU"/>
        </w:rPr>
        <w:t xml:space="preserve"> </w:t>
      </w:r>
      <w:r w:rsidRPr="00192261">
        <w:rPr>
          <w:lang w:val="ru-RU"/>
        </w:rPr>
        <w:t xml:space="preserve">фтизиопульмонологического центра  </w:t>
      </w:r>
      <w:r w:rsidRPr="00192261">
        <w:rPr>
          <w:bCs/>
          <w:lang w:val="ru-RU"/>
        </w:rPr>
        <w:t>субъекта РФ</w:t>
      </w:r>
      <w:r w:rsidRPr="00192261" w:rsidDel="00967667">
        <w:rPr>
          <w:lang w:val="ru-RU"/>
        </w:rPr>
        <w:t xml:space="preserve"> </w:t>
      </w:r>
      <w:r w:rsidRPr="001B6517">
        <w:t>III</w:t>
      </w:r>
      <w:r w:rsidRPr="00192261">
        <w:rPr>
          <w:lang w:val="ru-RU"/>
        </w:rPr>
        <w:t xml:space="preserve"> режим может быть назначен до получения результата ТЛЧ больным туберкулёзом, в том числе без бактериовыделения, с высоким риском МЛУ МБТ: </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Cs/>
          <w:sz w:val="24"/>
          <w:szCs w:val="24"/>
        </w:rPr>
      </w:pPr>
      <w:r w:rsidRPr="00192261">
        <w:rPr>
          <w:rFonts w:ascii="Times New Roman" w:hAnsi="Times New Roman"/>
          <w:bCs/>
          <w:sz w:val="24"/>
          <w:szCs w:val="24"/>
        </w:rPr>
        <w:t>заболевшим из достоверного контакта с больным МЛУ ТБ (МЛУ ТБ у вероятного источника заражения должно быть документировано);</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Cs/>
          <w:sz w:val="24"/>
          <w:szCs w:val="24"/>
        </w:rPr>
      </w:pPr>
      <w:r w:rsidRPr="00192261">
        <w:rPr>
          <w:rFonts w:ascii="Times New Roman" w:hAnsi="Times New Roman"/>
          <w:bCs/>
          <w:sz w:val="24"/>
          <w:szCs w:val="24"/>
        </w:rPr>
        <w:t>больным туберкулёзом, ранее получавшим 2 и более неэффективных курсов химиотерапии туберкулеза;</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Cs/>
          <w:sz w:val="24"/>
          <w:szCs w:val="24"/>
        </w:rPr>
      </w:pPr>
      <w:r w:rsidRPr="00192261">
        <w:rPr>
          <w:rFonts w:ascii="Times New Roman" w:hAnsi="Times New Roman"/>
          <w:bCs/>
          <w:sz w:val="24"/>
          <w:szCs w:val="24"/>
        </w:rPr>
        <w:t>больным с рецидивом туберкулеза и других случаях  повторного лечения, если ранее у больного была выявлена ЛУ к одному из основных препаратов – изониазиду или рифампицину;</w:t>
      </w:r>
    </w:p>
    <w:p w:rsidR="00A97587" w:rsidRPr="00192261" w:rsidRDefault="00A97587" w:rsidP="000B4017">
      <w:pPr>
        <w:numPr>
          <w:ilvl w:val="1"/>
          <w:numId w:val="11"/>
        </w:numPr>
        <w:tabs>
          <w:tab w:val="num" w:pos="709"/>
        </w:tabs>
        <w:spacing w:after="0" w:line="240" w:lineRule="auto"/>
        <w:ind w:left="709"/>
        <w:jc w:val="both"/>
        <w:rPr>
          <w:rFonts w:ascii="Times New Roman" w:hAnsi="Times New Roman"/>
          <w:bCs/>
          <w:sz w:val="24"/>
          <w:szCs w:val="24"/>
        </w:rPr>
      </w:pPr>
      <w:r w:rsidRPr="00192261">
        <w:rPr>
          <w:rFonts w:ascii="Times New Roman" w:hAnsi="Times New Roman"/>
          <w:bCs/>
          <w:sz w:val="24"/>
          <w:szCs w:val="24"/>
        </w:rPr>
        <w:t>при отрицательной клинико-рентгенологической динамике процесса, а также сохранении или появлении бактериовыделения через 3 месяца контролируемого лечения и без  данных ТЛЧ молекулярно-генетическим методом</w:t>
      </w:r>
      <w:r w:rsidRPr="00192261">
        <w:rPr>
          <w:rFonts w:ascii="Times New Roman" w:hAnsi="Times New Roman"/>
          <w:sz w:val="24"/>
          <w:szCs w:val="24"/>
        </w:rPr>
        <w:t xml:space="preserve"> </w:t>
      </w:r>
      <w:r w:rsidRPr="00192261">
        <w:rPr>
          <w:rFonts w:ascii="Times New Roman" w:hAnsi="Times New Roman"/>
          <w:bCs/>
          <w:sz w:val="24"/>
          <w:szCs w:val="24"/>
        </w:rPr>
        <w:t>в случае выполнения следующих условий:</w:t>
      </w:r>
    </w:p>
    <w:p w:rsidR="00A97587" w:rsidRPr="00192261" w:rsidRDefault="00A97587" w:rsidP="000B4017">
      <w:pPr>
        <w:numPr>
          <w:ilvl w:val="1"/>
          <w:numId w:val="13"/>
        </w:numPr>
        <w:tabs>
          <w:tab w:val="num" w:pos="1276"/>
        </w:tabs>
        <w:spacing w:after="0" w:line="240" w:lineRule="auto"/>
        <w:ind w:left="1293" w:hanging="357"/>
        <w:jc w:val="both"/>
        <w:rPr>
          <w:rFonts w:ascii="Times New Roman" w:hAnsi="Times New Roman"/>
          <w:sz w:val="24"/>
          <w:szCs w:val="24"/>
        </w:rPr>
      </w:pPr>
      <w:r w:rsidRPr="00192261">
        <w:rPr>
          <w:rFonts w:ascii="Times New Roman" w:hAnsi="Times New Roman"/>
          <w:sz w:val="24"/>
          <w:szCs w:val="24"/>
        </w:rPr>
        <w:t>принято не менее 90 доз,</w:t>
      </w:r>
    </w:p>
    <w:p w:rsidR="00A97587" w:rsidRPr="00192261" w:rsidRDefault="00A97587" w:rsidP="000B4017">
      <w:pPr>
        <w:numPr>
          <w:ilvl w:val="1"/>
          <w:numId w:val="13"/>
        </w:numPr>
        <w:tabs>
          <w:tab w:val="num" w:pos="1276"/>
        </w:tabs>
        <w:spacing w:after="0" w:line="240" w:lineRule="auto"/>
        <w:ind w:left="1293" w:hanging="357"/>
        <w:jc w:val="both"/>
        <w:rPr>
          <w:rFonts w:ascii="Times New Roman" w:hAnsi="Times New Roman"/>
          <w:sz w:val="24"/>
          <w:szCs w:val="24"/>
        </w:rPr>
      </w:pPr>
      <w:r w:rsidRPr="00192261">
        <w:rPr>
          <w:rFonts w:ascii="Times New Roman" w:hAnsi="Times New Roman"/>
          <w:sz w:val="24"/>
          <w:szCs w:val="24"/>
        </w:rPr>
        <w:t>лечение проводилось под строгим контролем,</w:t>
      </w:r>
    </w:p>
    <w:p w:rsidR="00A97587" w:rsidRPr="00192261" w:rsidRDefault="00A97587" w:rsidP="000B4017">
      <w:pPr>
        <w:numPr>
          <w:ilvl w:val="1"/>
          <w:numId w:val="13"/>
        </w:numPr>
        <w:tabs>
          <w:tab w:val="num" w:pos="1276"/>
        </w:tabs>
        <w:spacing w:after="0" w:line="240" w:lineRule="auto"/>
        <w:ind w:left="1293" w:hanging="357"/>
        <w:jc w:val="both"/>
        <w:rPr>
          <w:rFonts w:ascii="Times New Roman" w:hAnsi="Times New Roman"/>
          <w:sz w:val="24"/>
          <w:szCs w:val="24"/>
        </w:rPr>
      </w:pPr>
      <w:r w:rsidRPr="00192261">
        <w:rPr>
          <w:rFonts w:ascii="Times New Roman" w:hAnsi="Times New Roman"/>
          <w:sz w:val="24"/>
          <w:szCs w:val="24"/>
        </w:rPr>
        <w:t>отсутствуют другие причины неэффективности лечения: сопутствующие заболевания, побочные действия на прием противотуберкулезных и других препаратов и др.</w:t>
      </w:r>
    </w:p>
    <w:p w:rsidR="00A97587" w:rsidRDefault="00A97587" w:rsidP="000B4017">
      <w:pPr>
        <w:numPr>
          <w:ilvl w:val="1"/>
          <w:numId w:val="13"/>
        </w:numPr>
        <w:tabs>
          <w:tab w:val="num" w:pos="1276"/>
        </w:tabs>
        <w:spacing w:after="0" w:line="240" w:lineRule="auto"/>
        <w:ind w:left="1293" w:hanging="357"/>
        <w:jc w:val="both"/>
        <w:rPr>
          <w:rFonts w:ascii="Times New Roman" w:hAnsi="Times New Roman"/>
          <w:sz w:val="24"/>
          <w:szCs w:val="24"/>
        </w:rPr>
      </w:pPr>
      <w:r w:rsidRPr="00192261">
        <w:rPr>
          <w:rFonts w:ascii="Times New Roman" w:hAnsi="Times New Roman"/>
          <w:sz w:val="24"/>
          <w:szCs w:val="24"/>
        </w:rPr>
        <w:t>обеспечена приверженность больного к лечению.</w:t>
      </w:r>
    </w:p>
    <w:p w:rsidR="00A97587" w:rsidRPr="007623CB" w:rsidRDefault="00A97587" w:rsidP="007623CB">
      <w:pPr>
        <w:pStyle w:val="BodyText"/>
        <w:spacing w:before="0"/>
        <w:ind w:firstLine="680"/>
        <w:rPr>
          <w:rFonts w:cs="Times New Roman"/>
          <w:lang w:val="ru-RU"/>
        </w:rPr>
      </w:pPr>
      <w:r w:rsidRPr="007623CB">
        <w:rPr>
          <w:rFonts w:cs="Times New Roman"/>
          <w:lang w:val="ru-RU"/>
        </w:rPr>
        <w:t>После получения результатов ТЛЧ назначается режим ХТ, соответствующий полученному спектру ЛУ.</w:t>
      </w:r>
    </w:p>
    <w:p w:rsidR="00A97587" w:rsidRDefault="00A97587" w:rsidP="007623CB">
      <w:pPr>
        <w:pStyle w:val="BodyText"/>
        <w:spacing w:before="0" w:after="120"/>
        <w:ind w:firstLine="680"/>
        <w:rPr>
          <w:lang w:val="ru-RU"/>
        </w:rPr>
      </w:pPr>
      <w:r w:rsidRPr="00461318">
        <w:rPr>
          <w:rFonts w:cs="Times New Roman"/>
          <w:lang w:val="ru-RU"/>
        </w:rPr>
        <w:t>До начала леч</w:t>
      </w:r>
      <w:r w:rsidRPr="00192261">
        <w:rPr>
          <w:lang w:val="ru-RU"/>
        </w:rPr>
        <w:t>ения ТЛЧ как минимум на чувствительность к рифампицину должны проводиться ускоренными молекулярно-генетическим методами диагностики.</w:t>
      </w:r>
    </w:p>
    <w:tbl>
      <w:tblPr>
        <w:tblW w:w="0" w:type="auto"/>
        <w:tblLook w:val="0000"/>
      </w:tblPr>
      <w:tblGrid>
        <w:gridCol w:w="648"/>
        <w:gridCol w:w="8922"/>
      </w:tblGrid>
      <w:tr w:rsidR="00A97587" w:rsidTr="001A0B4C">
        <w:tc>
          <w:tcPr>
            <w:tcW w:w="648" w:type="dxa"/>
            <w:shd w:val="clear" w:color="auto" w:fill="8C8C8C"/>
            <w:vAlign w:val="center"/>
          </w:tcPr>
          <w:p w:rsidR="00A97587" w:rsidRPr="00B130CE" w:rsidRDefault="00A97587" w:rsidP="001A0B4C">
            <w:pPr>
              <w:pStyle w:val="a0"/>
              <w:spacing w:before="60" w:after="60"/>
              <w:jc w:val="center"/>
              <w:rPr>
                <w:rFonts w:ascii="Arial" w:hAnsi="Arial"/>
                <w:b/>
                <w:color w:val="FFFFFF"/>
              </w:rPr>
            </w:pPr>
            <w:r w:rsidRPr="00B130CE">
              <w:rPr>
                <w:rFonts w:ascii="Arial" w:hAnsi="Arial"/>
                <w:b/>
                <w:color w:val="FFFFFF"/>
              </w:rPr>
              <w:t>С</w:t>
            </w:r>
          </w:p>
        </w:tc>
        <w:tc>
          <w:tcPr>
            <w:tcW w:w="8922" w:type="dxa"/>
            <w:vAlign w:val="center"/>
          </w:tcPr>
          <w:p w:rsidR="00A97587" w:rsidRPr="00B70A68" w:rsidRDefault="00A97587" w:rsidP="00B70A68">
            <w:pPr>
              <w:pStyle w:val="a0"/>
              <w:rPr>
                <w:rFonts w:ascii="Arial" w:hAnsi="Arial"/>
                <w:i/>
              </w:rPr>
            </w:pPr>
            <w:r w:rsidRPr="00A42A8B">
              <w:rPr>
                <w:rFonts w:ascii="Arial" w:hAnsi="Arial" w:cs="Cambria"/>
                <w:i/>
                <w:lang w:eastAsia="ru-RU"/>
              </w:rPr>
              <w:t>Режим химиотерапии МЛУ</w:t>
            </w:r>
            <w:r>
              <w:rPr>
                <w:rFonts w:ascii="Arial" w:hAnsi="Arial" w:cs="Cambria"/>
                <w:i/>
                <w:lang w:eastAsia="ru-RU"/>
              </w:rPr>
              <w:t xml:space="preserve"> ТБ</w:t>
            </w:r>
            <w:r w:rsidRPr="00A42A8B">
              <w:rPr>
                <w:rFonts w:ascii="Arial" w:hAnsi="Arial" w:cs="Cambria"/>
                <w:i/>
                <w:lang w:eastAsia="ru-RU"/>
              </w:rPr>
              <w:t xml:space="preserve"> должен состоять как минимум из 5 наиболее эффективных препаратов</w:t>
            </w:r>
          </w:p>
        </w:tc>
      </w:tr>
      <w:tr w:rsidR="00A97587" w:rsidTr="00B70A68">
        <w:tc>
          <w:tcPr>
            <w:tcW w:w="648" w:type="dxa"/>
            <w:shd w:val="clear" w:color="auto" w:fill="8C8C8C"/>
            <w:vAlign w:val="center"/>
          </w:tcPr>
          <w:p w:rsidR="00A97587" w:rsidRPr="00B130CE" w:rsidRDefault="00A97587" w:rsidP="001A0B4C">
            <w:pPr>
              <w:pStyle w:val="a0"/>
              <w:spacing w:before="60" w:after="60"/>
              <w:jc w:val="center"/>
              <w:rPr>
                <w:rFonts w:ascii="Arial" w:hAnsi="Arial"/>
                <w:b/>
                <w:color w:val="FFFFFF"/>
              </w:rPr>
            </w:pPr>
            <w:r w:rsidRPr="00B130CE">
              <w:rPr>
                <w:rFonts w:ascii="Arial" w:hAnsi="Arial"/>
                <w:b/>
                <w:color w:val="FFFFFF"/>
              </w:rPr>
              <w:t>С</w:t>
            </w:r>
          </w:p>
        </w:tc>
        <w:tc>
          <w:tcPr>
            <w:tcW w:w="8922" w:type="dxa"/>
            <w:vAlign w:val="center"/>
          </w:tcPr>
          <w:p w:rsidR="00A97587" w:rsidRPr="00571FB9" w:rsidRDefault="00A97587" w:rsidP="00B70A68">
            <w:pPr>
              <w:pStyle w:val="a0"/>
              <w:rPr>
                <w:rFonts w:ascii="Arial" w:hAnsi="Arial" w:cs="Cambria"/>
                <w:i/>
                <w:lang w:eastAsia="ru-RU"/>
              </w:rPr>
            </w:pPr>
            <w:r w:rsidRPr="00A42A8B">
              <w:rPr>
                <w:rFonts w:ascii="Arial" w:hAnsi="Arial" w:cs="Cambria"/>
                <w:i/>
                <w:lang w:eastAsia="ru-RU"/>
              </w:rPr>
              <w:t xml:space="preserve">Режим химиотерапии </w:t>
            </w:r>
            <w:r w:rsidRPr="00B70A68">
              <w:rPr>
                <w:rFonts w:ascii="Arial" w:hAnsi="Arial" w:cs="Cambria"/>
                <w:i/>
                <w:lang w:eastAsia="ru-RU"/>
              </w:rPr>
              <w:t>МЛУ</w:t>
            </w:r>
            <w:r>
              <w:rPr>
                <w:rFonts w:ascii="Arial" w:hAnsi="Arial" w:cs="Cambria"/>
                <w:i/>
                <w:lang w:eastAsia="ru-RU"/>
              </w:rPr>
              <w:t xml:space="preserve"> ТБ</w:t>
            </w:r>
            <w:r w:rsidRPr="00A42A8B">
              <w:rPr>
                <w:rFonts w:ascii="Arial" w:hAnsi="Arial" w:cs="Cambria"/>
                <w:i/>
                <w:lang w:eastAsia="ru-RU"/>
              </w:rPr>
              <w:t xml:space="preserve"> обязательно должен включать аминогликозид или полипептид, левофлоксацин или моксифлоксацин, пиразинамид</w:t>
            </w:r>
          </w:p>
        </w:tc>
      </w:tr>
    </w:tbl>
    <w:p w:rsidR="00A97587" w:rsidRPr="00192261" w:rsidRDefault="00A97587" w:rsidP="00B70A68">
      <w:pPr>
        <w:pStyle w:val="BodyText"/>
        <w:rPr>
          <w:lang w:val="ru-RU"/>
        </w:rPr>
      </w:pPr>
      <w:r w:rsidRPr="00192261">
        <w:rPr>
          <w:b/>
          <w:i/>
          <w:lang w:val="ru-RU"/>
        </w:rPr>
        <w:t>В интенсивной фазе</w:t>
      </w:r>
      <w:r w:rsidRPr="00192261">
        <w:rPr>
          <w:lang w:val="ru-RU"/>
        </w:rPr>
        <w:t xml:space="preserve"> </w:t>
      </w:r>
      <w:r w:rsidRPr="001B6517">
        <w:t>III</w:t>
      </w:r>
      <w:r>
        <w:rPr>
          <w:lang w:val="ru-RU"/>
        </w:rPr>
        <w:t xml:space="preserve"> </w:t>
      </w:r>
      <w:r w:rsidRPr="00192261">
        <w:rPr>
          <w:lang w:val="ru-RU"/>
        </w:rPr>
        <w:t xml:space="preserve">режим должен включать как минимум пять наиболее эффективных препаратов с обязательным применением аминогликозида или полипептида, левофлоксацина, пиразинамида.  </w:t>
      </w:r>
    </w:p>
    <w:p w:rsidR="00A97587" w:rsidRPr="00192261" w:rsidRDefault="00A97587" w:rsidP="00461318">
      <w:pPr>
        <w:pStyle w:val="BodyText"/>
        <w:spacing w:before="0"/>
        <w:ind w:firstLine="680"/>
        <w:rPr>
          <w:lang w:val="ru-RU"/>
        </w:rPr>
      </w:pPr>
      <w:r w:rsidRPr="00192261">
        <w:rPr>
          <w:lang w:val="ru-RU"/>
        </w:rPr>
        <w:t xml:space="preserve">При установленной ЛУ к изониазиду и рифампицину или только к рифампицину, но отсутствии данных ТЛЧ к другим препаратам основного и резервного ряда назначают следующую комбинацию препаратов: </w:t>
      </w:r>
      <w:r w:rsidRPr="001B6517">
        <w:t>Cm</w:t>
      </w:r>
      <w:r w:rsidRPr="00192261">
        <w:rPr>
          <w:lang w:val="ru-RU"/>
        </w:rPr>
        <w:t xml:space="preserve"> </w:t>
      </w:r>
      <w:r w:rsidRPr="001B6517">
        <w:t>Lfx</w:t>
      </w:r>
      <w:r w:rsidRPr="00192261">
        <w:rPr>
          <w:lang w:val="ru-RU"/>
        </w:rPr>
        <w:t xml:space="preserve"> </w:t>
      </w:r>
      <w:r w:rsidRPr="001B6517">
        <w:t>Z</w:t>
      </w:r>
      <w:r w:rsidRPr="00192261">
        <w:rPr>
          <w:lang w:val="ru-RU"/>
        </w:rPr>
        <w:t xml:space="preserve"> </w:t>
      </w:r>
      <w:r w:rsidRPr="001B6517">
        <w:t>Cs</w:t>
      </w:r>
      <w:r w:rsidRPr="00192261">
        <w:rPr>
          <w:lang w:val="ru-RU"/>
        </w:rPr>
        <w:t>/</w:t>
      </w:r>
      <w:r w:rsidRPr="001B6517">
        <w:t>Trd</w:t>
      </w:r>
      <w:r w:rsidRPr="00192261">
        <w:rPr>
          <w:lang w:val="ru-RU"/>
        </w:rPr>
        <w:t xml:space="preserve"> </w:t>
      </w:r>
      <w:r w:rsidRPr="001B6517">
        <w:rPr>
          <w:lang w:val="es-PE"/>
        </w:rPr>
        <w:t>PAS</w:t>
      </w:r>
      <w:r w:rsidRPr="00192261">
        <w:rPr>
          <w:lang w:val="ru-RU"/>
        </w:rPr>
        <w:t xml:space="preserve"> </w:t>
      </w:r>
      <w:r w:rsidRPr="001B6517">
        <w:t>Pto</w:t>
      </w:r>
      <w:r w:rsidRPr="00192261">
        <w:rPr>
          <w:lang w:val="ru-RU"/>
        </w:rPr>
        <w:t>/</w:t>
      </w:r>
      <w:r w:rsidRPr="001B6517">
        <w:t>Eto</w:t>
      </w:r>
      <w:r w:rsidRPr="00192261">
        <w:rPr>
          <w:lang w:val="ru-RU"/>
        </w:rPr>
        <w:t xml:space="preserve"> - капреомицин, левофлоксацин, пиразинамид, циклосерин или теризидон, аминосалициловая кислота, протионамид или этионамид, которая при получении результатов ТЛЧ корректируется. При непереносимости левофлоксацина он может быть заменен на моксифлоксацин. При непереносимости левофлоксацина и моксифлоксацина или при противопоказаниях к их назначению в режим может быть включен офлоксацин. Кроме того в этом режиме могут быть использованы препараты, эффективность которых доказана для лечения туберкулеза, - перхлозон и глутоксим </w:t>
      </w:r>
    </w:p>
    <w:p w:rsidR="00A97587" w:rsidRPr="00192261" w:rsidRDefault="00A97587" w:rsidP="000B4017">
      <w:pPr>
        <w:pStyle w:val="BodyText"/>
        <w:rPr>
          <w:lang w:val="ru-RU"/>
        </w:rPr>
      </w:pPr>
      <w:r w:rsidRPr="00192261">
        <w:rPr>
          <w:b/>
          <w:i/>
          <w:lang w:val="ru-RU"/>
        </w:rPr>
        <w:t>В фазе продолжения</w:t>
      </w:r>
      <w:r w:rsidRPr="00192261">
        <w:rPr>
          <w:lang w:val="ru-RU"/>
        </w:rPr>
        <w:t xml:space="preserve"> по </w:t>
      </w:r>
      <w:r w:rsidRPr="001B6517">
        <w:t>III</w:t>
      </w:r>
      <w:r w:rsidRPr="00192261">
        <w:rPr>
          <w:lang w:val="ru-RU"/>
        </w:rPr>
        <w:t xml:space="preserve"> режиму назначается 3-4 препарата с обязательным включением левофлоксацина и пиразинамида.</w:t>
      </w:r>
    </w:p>
    <w:p w:rsidR="00A97587" w:rsidRPr="00192261" w:rsidRDefault="00A97587" w:rsidP="000B4017">
      <w:pPr>
        <w:pStyle w:val="BodyText"/>
        <w:rPr>
          <w:lang w:val="ru-RU"/>
        </w:rPr>
      </w:pPr>
      <w:r w:rsidRPr="00192261">
        <w:rPr>
          <w:bCs/>
          <w:lang w:val="ru-RU"/>
        </w:rPr>
        <w:t xml:space="preserve">При отсутствии </w:t>
      </w:r>
      <w:r w:rsidRPr="00192261">
        <w:rPr>
          <w:lang w:val="ru-RU"/>
        </w:rPr>
        <w:t>результатов</w:t>
      </w:r>
      <w:r w:rsidRPr="00192261">
        <w:rPr>
          <w:bCs/>
          <w:lang w:val="ru-RU"/>
        </w:rPr>
        <w:t xml:space="preserve"> ТЛЧ назначается стандартный режим –</w:t>
      </w:r>
      <w:r w:rsidRPr="00192261">
        <w:rPr>
          <w:lang w:val="ru-RU"/>
        </w:rPr>
        <w:t xml:space="preserve">  </w:t>
      </w:r>
      <w:r>
        <w:rPr>
          <w:lang w:val="ru-RU"/>
        </w:rPr>
        <w:t>6-</w:t>
      </w:r>
      <w:r w:rsidRPr="00480C48">
        <w:rPr>
          <w:lang w:val="ru-RU"/>
        </w:rPr>
        <w:t xml:space="preserve">8 </w:t>
      </w:r>
      <w:r>
        <w:t>Cm</w:t>
      </w:r>
      <w:r w:rsidRPr="00480C48">
        <w:rPr>
          <w:lang w:val="ru-RU"/>
        </w:rPr>
        <w:t xml:space="preserve"> </w:t>
      </w:r>
      <w:r>
        <w:t>Lfx</w:t>
      </w:r>
      <w:r w:rsidRPr="00480C48">
        <w:rPr>
          <w:lang w:val="ru-RU"/>
        </w:rPr>
        <w:t xml:space="preserve"> </w:t>
      </w:r>
      <w:r>
        <w:t>Z</w:t>
      </w:r>
      <w:r w:rsidRPr="00480C48">
        <w:rPr>
          <w:lang w:val="ru-RU"/>
        </w:rPr>
        <w:t xml:space="preserve"> </w:t>
      </w:r>
      <w:r>
        <w:t>Pto</w:t>
      </w:r>
      <w:r w:rsidRPr="00480C48">
        <w:rPr>
          <w:lang w:val="ru-RU"/>
        </w:rPr>
        <w:t>/</w:t>
      </w:r>
      <w:r>
        <w:t>Eto</w:t>
      </w:r>
      <w:r w:rsidRPr="00480C48">
        <w:rPr>
          <w:lang w:val="ru-RU"/>
        </w:rPr>
        <w:t xml:space="preserve"> </w:t>
      </w:r>
      <w:r>
        <w:t>Cs</w:t>
      </w:r>
      <w:r w:rsidRPr="00480C48">
        <w:rPr>
          <w:lang w:val="ru-RU"/>
        </w:rPr>
        <w:t>/</w:t>
      </w:r>
      <w:r>
        <w:t>Trd</w:t>
      </w:r>
      <w:r w:rsidRPr="00480C48">
        <w:rPr>
          <w:lang w:val="ru-RU"/>
        </w:rPr>
        <w:t xml:space="preserve"> </w:t>
      </w:r>
      <w:r>
        <w:rPr>
          <w:lang w:val="ru-RU"/>
        </w:rPr>
        <w:t>(</w:t>
      </w:r>
      <w:r>
        <w:t>PAS</w:t>
      </w:r>
      <w:r>
        <w:rPr>
          <w:lang w:val="ru-RU"/>
        </w:rPr>
        <w:t xml:space="preserve">) </w:t>
      </w:r>
      <w:r w:rsidRPr="00480C48">
        <w:rPr>
          <w:bCs/>
          <w:lang w:val="ru-RU"/>
        </w:rPr>
        <w:t>[К</w:t>
      </w:r>
      <w:r w:rsidRPr="00366589">
        <w:rPr>
          <w:bCs/>
        </w:rPr>
        <w:t>m</w:t>
      </w:r>
      <w:r w:rsidRPr="00480C48">
        <w:rPr>
          <w:bCs/>
          <w:lang w:val="ru-RU"/>
        </w:rPr>
        <w:t xml:space="preserve"> /А</w:t>
      </w:r>
      <w:r w:rsidRPr="00366589">
        <w:rPr>
          <w:bCs/>
        </w:rPr>
        <w:t>m</w:t>
      </w:r>
      <w:r w:rsidRPr="00480C48">
        <w:rPr>
          <w:bCs/>
          <w:lang w:val="ru-RU"/>
        </w:rPr>
        <w:t>] [</w:t>
      </w:r>
      <w:r w:rsidRPr="00366589">
        <w:rPr>
          <w:bCs/>
        </w:rPr>
        <w:t>E</w:t>
      </w:r>
      <w:r w:rsidRPr="00480C48">
        <w:rPr>
          <w:bCs/>
          <w:lang w:val="ru-RU"/>
        </w:rPr>
        <w:t>]</w:t>
      </w:r>
      <w:r w:rsidRPr="00480C48">
        <w:rPr>
          <w:lang w:val="ru-RU"/>
        </w:rPr>
        <w:t xml:space="preserve"> [</w:t>
      </w:r>
      <w:r w:rsidRPr="00366589">
        <w:rPr>
          <w:lang w:val="es-PE"/>
        </w:rPr>
        <w:t>Mfx</w:t>
      </w:r>
      <w:r w:rsidRPr="00480C48">
        <w:rPr>
          <w:lang w:val="ru-RU"/>
        </w:rPr>
        <w:t>] [</w:t>
      </w:r>
      <w:r w:rsidRPr="00366589">
        <w:rPr>
          <w:lang w:val="fr-FR"/>
        </w:rPr>
        <w:t>Thz</w:t>
      </w:r>
      <w:r w:rsidRPr="00480C48">
        <w:rPr>
          <w:lang w:val="ru-RU"/>
        </w:rPr>
        <w:t>] [</w:t>
      </w:r>
      <w:r>
        <w:rPr>
          <w:lang w:val="de-DE"/>
        </w:rPr>
        <w:t>Tp</w:t>
      </w:r>
      <w:r w:rsidRPr="00480C48">
        <w:rPr>
          <w:lang w:val="ru-RU"/>
        </w:rPr>
        <w:t xml:space="preserve">] </w:t>
      </w:r>
      <w:r w:rsidRPr="00A0111B">
        <w:rPr>
          <w:rFonts w:ascii="Calibri" w:hAnsi="Calibri"/>
          <w:lang w:val="ru-RU"/>
        </w:rPr>
        <w:t>[</w:t>
      </w:r>
      <w:r w:rsidRPr="00227C67">
        <w:rPr>
          <w:rFonts w:ascii="Calibri" w:hAnsi="Calibri"/>
          <w:lang w:val="fr-FR"/>
        </w:rPr>
        <w:t>B</w:t>
      </w:r>
      <w:r>
        <w:rPr>
          <w:rFonts w:ascii="Calibri" w:hAnsi="Calibri"/>
          <w:lang w:val="fr-FR"/>
        </w:rPr>
        <w:t>q</w:t>
      </w:r>
      <w:r w:rsidRPr="00A0111B">
        <w:rPr>
          <w:rFonts w:ascii="Calibri" w:hAnsi="Calibri"/>
          <w:lang w:val="ru-RU"/>
        </w:rPr>
        <w:t>]</w:t>
      </w:r>
      <w:r>
        <w:rPr>
          <w:lang w:val="ru-RU"/>
        </w:rPr>
        <w:t xml:space="preserve"> </w:t>
      </w:r>
      <w:r w:rsidRPr="00480C48">
        <w:rPr>
          <w:lang w:val="ru-RU"/>
        </w:rPr>
        <w:t xml:space="preserve">+ 10-12 </w:t>
      </w:r>
      <w:r>
        <w:t>Lfx</w:t>
      </w:r>
      <w:r w:rsidRPr="00480C48">
        <w:rPr>
          <w:lang w:val="ru-RU"/>
        </w:rPr>
        <w:t xml:space="preserve"> </w:t>
      </w:r>
      <w:r>
        <w:t>Z</w:t>
      </w:r>
      <w:r w:rsidRPr="00480C48">
        <w:rPr>
          <w:lang w:val="ru-RU"/>
        </w:rPr>
        <w:t xml:space="preserve"> </w:t>
      </w:r>
      <w:r>
        <w:t>Cs</w:t>
      </w:r>
      <w:r w:rsidRPr="00480C48">
        <w:rPr>
          <w:lang w:val="ru-RU"/>
        </w:rPr>
        <w:t>/</w:t>
      </w:r>
      <w:r>
        <w:t>Trd</w:t>
      </w:r>
      <w:r w:rsidRPr="00480C48">
        <w:rPr>
          <w:lang w:val="ru-RU"/>
        </w:rPr>
        <w:t xml:space="preserve"> (</w:t>
      </w:r>
      <w:r>
        <w:t>PAS</w:t>
      </w:r>
      <w:r w:rsidRPr="00480C48">
        <w:rPr>
          <w:lang w:val="ru-RU"/>
        </w:rPr>
        <w:t>) (</w:t>
      </w:r>
      <w:r>
        <w:t>Pto</w:t>
      </w:r>
      <w:r w:rsidRPr="00480C48">
        <w:rPr>
          <w:lang w:val="ru-RU"/>
        </w:rPr>
        <w:t>/</w:t>
      </w:r>
      <w:r>
        <w:t>Eto</w:t>
      </w:r>
      <w:r w:rsidRPr="00480C48">
        <w:rPr>
          <w:lang w:val="ru-RU"/>
        </w:rPr>
        <w:t>)</w:t>
      </w:r>
      <w:r w:rsidRPr="00480C48">
        <w:rPr>
          <w:bCs/>
          <w:lang w:val="ru-RU"/>
        </w:rPr>
        <w:t xml:space="preserve"> [</w:t>
      </w:r>
      <w:r w:rsidRPr="00366589">
        <w:rPr>
          <w:bCs/>
        </w:rPr>
        <w:t>E</w:t>
      </w:r>
      <w:r w:rsidRPr="00480C48">
        <w:rPr>
          <w:bCs/>
          <w:lang w:val="ru-RU"/>
        </w:rPr>
        <w:t>]</w:t>
      </w:r>
      <w:r w:rsidRPr="00480C48">
        <w:rPr>
          <w:lang w:val="ru-RU"/>
        </w:rPr>
        <w:t xml:space="preserve"> [</w:t>
      </w:r>
      <w:r w:rsidRPr="00366589">
        <w:rPr>
          <w:lang w:val="es-PE"/>
        </w:rPr>
        <w:t>Mfx</w:t>
      </w:r>
      <w:r w:rsidRPr="00480C48">
        <w:rPr>
          <w:lang w:val="ru-RU"/>
        </w:rPr>
        <w:t>] [</w:t>
      </w:r>
      <w:r w:rsidRPr="00366589">
        <w:rPr>
          <w:lang w:val="fr-FR"/>
        </w:rPr>
        <w:t>Thz</w:t>
      </w:r>
      <w:r w:rsidRPr="00480C48">
        <w:rPr>
          <w:lang w:val="ru-RU"/>
        </w:rPr>
        <w:t>] [</w:t>
      </w:r>
      <w:r>
        <w:rPr>
          <w:lang w:val="de-DE"/>
        </w:rPr>
        <w:t>Tp</w:t>
      </w:r>
      <w:r w:rsidRPr="00480C48">
        <w:rPr>
          <w:lang w:val="ru-RU"/>
        </w:rPr>
        <w:t>]</w:t>
      </w:r>
      <w:r>
        <w:rPr>
          <w:lang w:val="ru-RU"/>
        </w:rPr>
        <w:t xml:space="preserve"> </w:t>
      </w:r>
      <w:r w:rsidRPr="00A0111B">
        <w:rPr>
          <w:rFonts w:ascii="Calibri" w:hAnsi="Calibri"/>
          <w:lang w:val="ru-RU"/>
        </w:rPr>
        <w:t>[</w:t>
      </w:r>
      <w:r w:rsidRPr="00227C67">
        <w:rPr>
          <w:rFonts w:ascii="Calibri" w:hAnsi="Calibri"/>
          <w:lang w:val="fr-FR"/>
        </w:rPr>
        <w:t>B</w:t>
      </w:r>
      <w:r>
        <w:rPr>
          <w:rFonts w:ascii="Calibri" w:hAnsi="Calibri"/>
          <w:lang w:val="fr-FR"/>
        </w:rPr>
        <w:t>q</w:t>
      </w:r>
      <w:r w:rsidRPr="00A0111B">
        <w:rPr>
          <w:rFonts w:ascii="Calibri" w:hAnsi="Calibri"/>
          <w:lang w:val="ru-RU"/>
        </w:rPr>
        <w:t>]</w:t>
      </w:r>
      <w:r w:rsidRPr="00227C67">
        <w:rPr>
          <w:lang w:val="ru-RU"/>
        </w:rPr>
        <w:t>.</w:t>
      </w:r>
    </w:p>
    <w:p w:rsidR="00A97587" w:rsidRPr="00192261" w:rsidRDefault="00A97587" w:rsidP="000B4017">
      <w:pPr>
        <w:pStyle w:val="BodyText"/>
        <w:rPr>
          <w:bCs/>
          <w:lang w:val="ru-RU"/>
        </w:rPr>
      </w:pPr>
      <w:r w:rsidRPr="00192261">
        <w:rPr>
          <w:bCs/>
          <w:lang w:val="ru-RU"/>
        </w:rPr>
        <w:t>В интенсивной фазе назначается следующая схема препаратов: капреомицин, левофлоксацин, пиразинамид, циклосерин или теризидон, или аминосалициловая кислота, протионамид или этионамид</w:t>
      </w:r>
    </w:p>
    <w:p w:rsidR="00A97587" w:rsidRPr="00192261" w:rsidRDefault="00A97587" w:rsidP="000B4017">
      <w:pPr>
        <w:pStyle w:val="BodyText"/>
        <w:rPr>
          <w:bCs/>
          <w:lang w:val="ru-RU"/>
        </w:rPr>
      </w:pPr>
      <w:r w:rsidRPr="00192261">
        <w:rPr>
          <w:bCs/>
          <w:lang w:val="ru-RU"/>
        </w:rPr>
        <w:t>В фазе продолжения лечение продолжается с отменой аминогликозида или капреомицина: левофлоксацин, пиразинамид, циклосерин/ теризидон, аминосалициловая кислота или протионамид /этионамид</w:t>
      </w:r>
    </w:p>
    <w:p w:rsidR="00A97587" w:rsidRDefault="00A97587" w:rsidP="000B4017">
      <w:pPr>
        <w:pStyle w:val="BodyText"/>
      </w:pPr>
      <w:r w:rsidRPr="00192261">
        <w:rPr>
          <w:lang w:val="ru-RU"/>
        </w:rPr>
        <w:t xml:space="preserve">При тяжелом </w:t>
      </w:r>
      <w:r w:rsidRPr="00192261">
        <w:rPr>
          <w:bCs/>
          <w:lang w:val="ru-RU"/>
        </w:rPr>
        <w:t>течении</w:t>
      </w:r>
      <w:r w:rsidRPr="00192261">
        <w:rPr>
          <w:lang w:val="ru-RU"/>
        </w:rPr>
        <w:t xml:space="preserve"> туберкулеза в схему лечения могут быть добавлен препарат группы 5.</w:t>
      </w:r>
    </w:p>
    <w:p w:rsidR="00A97587" w:rsidRDefault="00A97587" w:rsidP="000B4017">
      <w:pPr>
        <w:pStyle w:val="BodyText"/>
      </w:pPr>
    </w:p>
    <w:p w:rsidR="00A97587" w:rsidRDefault="00A97587" w:rsidP="000B4017">
      <w:pPr>
        <w:pStyle w:val="BodyText"/>
      </w:pPr>
    </w:p>
    <w:p w:rsidR="00A97587" w:rsidRDefault="00A97587" w:rsidP="000B4017">
      <w:pPr>
        <w:pStyle w:val="BodyText"/>
      </w:pPr>
    </w:p>
    <w:p w:rsidR="00A97587" w:rsidRPr="00A0111B" w:rsidRDefault="00A97587" w:rsidP="000B4017">
      <w:pPr>
        <w:pStyle w:val="BodyText"/>
      </w:pPr>
    </w:p>
    <w:p w:rsidR="00A97587" w:rsidRDefault="00A97587">
      <w:pPr>
        <w:keepNext/>
        <w:spacing w:line="240" w:lineRule="auto"/>
        <w:ind w:firstLine="357"/>
        <w:jc w:val="right"/>
        <w:rPr>
          <w:b/>
          <w:sz w:val="24"/>
          <w:szCs w:val="24"/>
        </w:rPr>
      </w:pPr>
      <w:r w:rsidRPr="001B6517">
        <w:rPr>
          <w:b/>
          <w:sz w:val="24"/>
          <w:szCs w:val="24"/>
        </w:rPr>
        <w:t>Таблица</w:t>
      </w:r>
      <w:r>
        <w:rPr>
          <w:b/>
          <w:sz w:val="24"/>
          <w:szCs w:val="24"/>
        </w:rPr>
        <w:t xml:space="preserve"> 6</w:t>
      </w:r>
    </w:p>
    <w:p w:rsidR="00A97587" w:rsidRPr="001B6517" w:rsidRDefault="00A97587" w:rsidP="000B4017">
      <w:pPr>
        <w:spacing w:line="240" w:lineRule="auto"/>
        <w:ind w:firstLine="360"/>
        <w:jc w:val="center"/>
        <w:rPr>
          <w:b/>
          <w:sz w:val="24"/>
          <w:szCs w:val="24"/>
        </w:rPr>
      </w:pPr>
      <w:r w:rsidRPr="001B6517">
        <w:rPr>
          <w:b/>
          <w:sz w:val="24"/>
          <w:szCs w:val="24"/>
        </w:rPr>
        <w:t xml:space="preserve">Алгоритм составления </w:t>
      </w:r>
      <w:r w:rsidRPr="001B6517">
        <w:rPr>
          <w:b/>
          <w:sz w:val="24"/>
          <w:szCs w:val="24"/>
          <w:lang w:val="en-US"/>
        </w:rPr>
        <w:t>III</w:t>
      </w:r>
      <w:r w:rsidRPr="001B6517">
        <w:rPr>
          <w:b/>
          <w:sz w:val="24"/>
          <w:szCs w:val="24"/>
        </w:rPr>
        <w:t xml:space="preserve">  режима химиотерапии по результатам ТЛЧ </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7"/>
        <w:gridCol w:w="2622"/>
        <w:gridCol w:w="4647"/>
      </w:tblGrid>
      <w:tr w:rsidR="00A97587" w:rsidRPr="00192261" w:rsidTr="002C7D0F">
        <w:trPr>
          <w:trHeight w:val="20"/>
          <w:jc w:val="center"/>
        </w:trPr>
        <w:tc>
          <w:tcPr>
            <w:tcW w:w="2787" w:type="dxa"/>
          </w:tcPr>
          <w:p w:rsidR="00A97587" w:rsidRPr="00192261" w:rsidRDefault="00A97587" w:rsidP="002C7D0F">
            <w:pPr>
              <w:spacing w:line="240" w:lineRule="auto"/>
              <w:ind w:right="34"/>
              <w:rPr>
                <w:rFonts w:ascii="Times New Roman" w:hAnsi="Times New Roman"/>
              </w:rPr>
            </w:pPr>
            <w:r w:rsidRPr="00192261">
              <w:rPr>
                <w:rFonts w:ascii="Times New Roman" w:hAnsi="Times New Roman"/>
              </w:rPr>
              <w:t>Последовательность вклю-чения препаратов в режим</w:t>
            </w:r>
          </w:p>
        </w:tc>
        <w:tc>
          <w:tcPr>
            <w:tcW w:w="2622" w:type="dxa"/>
          </w:tcPr>
          <w:p w:rsidR="00A97587" w:rsidRPr="00192261" w:rsidRDefault="00A97587" w:rsidP="002C7D0F">
            <w:pPr>
              <w:tabs>
                <w:tab w:val="left" w:pos="3044"/>
              </w:tabs>
              <w:spacing w:line="240" w:lineRule="auto"/>
              <w:rPr>
                <w:rFonts w:ascii="Times New Roman" w:hAnsi="Times New Roman"/>
              </w:rPr>
            </w:pPr>
            <w:r w:rsidRPr="00192261">
              <w:rPr>
                <w:rFonts w:ascii="Times New Roman" w:hAnsi="Times New Roman"/>
              </w:rPr>
              <w:t>Лекарственные препараты</w:t>
            </w:r>
          </w:p>
        </w:tc>
        <w:tc>
          <w:tcPr>
            <w:tcW w:w="4647" w:type="dxa"/>
          </w:tcPr>
          <w:p w:rsidR="00A97587" w:rsidRPr="00192261" w:rsidRDefault="00A97587" w:rsidP="002C7D0F">
            <w:pPr>
              <w:spacing w:line="240" w:lineRule="auto"/>
              <w:ind w:right="-1"/>
              <w:rPr>
                <w:rFonts w:ascii="Times New Roman" w:hAnsi="Times New Roman"/>
              </w:rPr>
            </w:pPr>
            <w:r w:rsidRPr="00192261">
              <w:rPr>
                <w:rFonts w:ascii="Times New Roman" w:hAnsi="Times New Roman"/>
              </w:rPr>
              <w:t>Комментарии</w:t>
            </w:r>
          </w:p>
        </w:tc>
      </w:tr>
      <w:tr w:rsidR="00A97587" w:rsidRPr="00192261" w:rsidTr="002C7D0F">
        <w:trPr>
          <w:trHeight w:val="20"/>
          <w:jc w:val="center"/>
        </w:trPr>
        <w:tc>
          <w:tcPr>
            <w:tcW w:w="2787" w:type="dxa"/>
          </w:tcPr>
          <w:p w:rsidR="00A97587" w:rsidRPr="00192261" w:rsidRDefault="00A97587" w:rsidP="002C7D0F">
            <w:pPr>
              <w:spacing w:line="240" w:lineRule="auto"/>
              <w:ind w:right="34"/>
              <w:rPr>
                <w:rFonts w:ascii="Times New Roman" w:hAnsi="Times New Roman"/>
              </w:rPr>
            </w:pPr>
            <w:r w:rsidRPr="00192261">
              <w:rPr>
                <w:rFonts w:ascii="Times New Roman" w:hAnsi="Times New Roman"/>
              </w:rPr>
              <w:t>Группа №1 – Аминогликозиды и полипептид</w:t>
            </w:r>
          </w:p>
        </w:tc>
        <w:tc>
          <w:tcPr>
            <w:tcW w:w="2622" w:type="dxa"/>
          </w:tcPr>
          <w:p w:rsidR="00A97587" w:rsidRPr="00192261" w:rsidRDefault="00A97587" w:rsidP="002C7D0F">
            <w:pPr>
              <w:tabs>
                <w:tab w:val="left" w:pos="3044"/>
              </w:tabs>
              <w:spacing w:line="240" w:lineRule="auto"/>
              <w:rPr>
                <w:rFonts w:ascii="Times New Roman" w:hAnsi="Times New Roman"/>
              </w:rPr>
            </w:pPr>
            <w:r w:rsidRPr="00192261">
              <w:rPr>
                <w:rFonts w:ascii="Times New Roman" w:hAnsi="Times New Roman"/>
              </w:rPr>
              <w:t>Канамицин, амикацин, капреомицин</w:t>
            </w:r>
          </w:p>
          <w:p w:rsidR="00A97587" w:rsidRPr="00192261" w:rsidRDefault="00A97587" w:rsidP="002C7D0F">
            <w:pPr>
              <w:tabs>
                <w:tab w:val="left" w:pos="3044"/>
              </w:tabs>
              <w:spacing w:line="240" w:lineRule="auto"/>
              <w:rPr>
                <w:rFonts w:ascii="Times New Roman" w:hAnsi="Times New Roman"/>
                <w:lang w:val="en-US"/>
              </w:rPr>
            </w:pPr>
          </w:p>
        </w:tc>
        <w:tc>
          <w:tcPr>
            <w:tcW w:w="4647" w:type="dxa"/>
          </w:tcPr>
          <w:p w:rsidR="00A97587" w:rsidRPr="00192261" w:rsidRDefault="00A97587" w:rsidP="002C7D0F">
            <w:pPr>
              <w:spacing w:line="240" w:lineRule="auto"/>
              <w:ind w:right="-1"/>
              <w:rPr>
                <w:rFonts w:ascii="Times New Roman" w:hAnsi="Times New Roman"/>
              </w:rPr>
            </w:pPr>
            <w:r w:rsidRPr="00192261">
              <w:rPr>
                <w:rFonts w:ascii="Times New Roman" w:hAnsi="Times New Roman"/>
              </w:rPr>
              <w:t xml:space="preserve">Назначить один из препаратов.  Капреомицин назначить при устойчивости к канамицину/ или амикацину или при отсутствии данных ТЛЧ на канамицин/ или амикацин. </w:t>
            </w:r>
          </w:p>
        </w:tc>
      </w:tr>
      <w:tr w:rsidR="00A97587" w:rsidRPr="00192261" w:rsidTr="002C7D0F">
        <w:trPr>
          <w:trHeight w:val="20"/>
          <w:jc w:val="center"/>
        </w:trPr>
        <w:tc>
          <w:tcPr>
            <w:tcW w:w="2787" w:type="dxa"/>
          </w:tcPr>
          <w:p w:rsidR="00A97587" w:rsidRPr="00192261" w:rsidRDefault="00A97587" w:rsidP="002C7D0F">
            <w:pPr>
              <w:spacing w:after="120" w:line="240" w:lineRule="auto"/>
              <w:ind w:right="34"/>
              <w:rPr>
                <w:rFonts w:ascii="Times New Roman" w:hAnsi="Times New Roman"/>
              </w:rPr>
            </w:pPr>
            <w:r w:rsidRPr="00192261">
              <w:rPr>
                <w:rFonts w:ascii="Times New Roman" w:hAnsi="Times New Roman"/>
              </w:rPr>
              <w:t>Группа № 2 - Фторхинолоны</w:t>
            </w:r>
          </w:p>
        </w:tc>
        <w:tc>
          <w:tcPr>
            <w:tcW w:w="2622" w:type="dxa"/>
          </w:tcPr>
          <w:p w:rsidR="00A97587" w:rsidRPr="00192261" w:rsidRDefault="00A97587" w:rsidP="002C7D0F">
            <w:pPr>
              <w:tabs>
                <w:tab w:val="left" w:pos="3044"/>
              </w:tabs>
              <w:spacing w:after="120" w:line="240" w:lineRule="auto"/>
              <w:rPr>
                <w:rFonts w:ascii="Times New Roman" w:hAnsi="Times New Roman"/>
              </w:rPr>
            </w:pPr>
            <w:r w:rsidRPr="00192261">
              <w:rPr>
                <w:rFonts w:ascii="Times New Roman" w:hAnsi="Times New Roman"/>
              </w:rPr>
              <w:t>Левофлоксацин, моксифлоксацин, офлоксацин</w:t>
            </w:r>
          </w:p>
        </w:tc>
        <w:tc>
          <w:tcPr>
            <w:tcW w:w="4647" w:type="dxa"/>
          </w:tcPr>
          <w:p w:rsidR="00A97587" w:rsidRPr="00192261" w:rsidRDefault="00A97587" w:rsidP="002C7D0F">
            <w:pPr>
              <w:spacing w:line="240" w:lineRule="auto"/>
              <w:ind w:right="-1"/>
              <w:rPr>
                <w:rFonts w:ascii="Times New Roman" w:hAnsi="Times New Roman"/>
              </w:rPr>
            </w:pPr>
            <w:r w:rsidRPr="00192261">
              <w:rPr>
                <w:rFonts w:ascii="Times New Roman" w:hAnsi="Times New Roman"/>
              </w:rPr>
              <w:t>Назначить один из фторхинолонов в максимальной дозировке. Предпочтение должно быть отдано левофлоксацину и/или моксифлоксацину. Моксифлоксацин назначить при ЛУ МБТ к офлоксацину.</w:t>
            </w:r>
          </w:p>
        </w:tc>
      </w:tr>
      <w:tr w:rsidR="00A97587" w:rsidRPr="00192261" w:rsidTr="002C7D0F">
        <w:trPr>
          <w:trHeight w:val="20"/>
          <w:jc w:val="center"/>
        </w:trPr>
        <w:tc>
          <w:tcPr>
            <w:tcW w:w="2787" w:type="dxa"/>
          </w:tcPr>
          <w:p w:rsidR="00A97587" w:rsidRPr="00192261" w:rsidRDefault="00A97587" w:rsidP="002C7D0F">
            <w:pPr>
              <w:spacing w:after="120" w:line="240" w:lineRule="auto"/>
              <w:ind w:right="34"/>
              <w:rPr>
                <w:rFonts w:ascii="Times New Roman" w:hAnsi="Times New Roman"/>
              </w:rPr>
            </w:pPr>
            <w:r w:rsidRPr="00192261">
              <w:rPr>
                <w:rFonts w:ascii="Times New Roman" w:hAnsi="Times New Roman"/>
              </w:rPr>
              <w:t xml:space="preserve">Группа № 3 - Препараты первого (основного) ряда </w:t>
            </w:r>
          </w:p>
        </w:tc>
        <w:tc>
          <w:tcPr>
            <w:tcW w:w="2622" w:type="dxa"/>
          </w:tcPr>
          <w:p w:rsidR="00A97587" w:rsidRPr="00192261" w:rsidRDefault="00A97587" w:rsidP="002C7D0F">
            <w:pPr>
              <w:tabs>
                <w:tab w:val="left" w:pos="3044"/>
              </w:tabs>
              <w:spacing w:after="120" w:line="240" w:lineRule="auto"/>
              <w:rPr>
                <w:rFonts w:ascii="Times New Roman" w:hAnsi="Times New Roman"/>
              </w:rPr>
            </w:pPr>
            <w:r w:rsidRPr="00192261">
              <w:rPr>
                <w:rFonts w:ascii="Times New Roman" w:hAnsi="Times New Roman"/>
              </w:rPr>
              <w:t>Этамбутол, пиразинамид,</w:t>
            </w:r>
          </w:p>
        </w:tc>
        <w:tc>
          <w:tcPr>
            <w:tcW w:w="4647" w:type="dxa"/>
          </w:tcPr>
          <w:p w:rsidR="00A97587" w:rsidRPr="00192261" w:rsidRDefault="00A97587" w:rsidP="002C7D0F">
            <w:pPr>
              <w:spacing w:line="240" w:lineRule="auto"/>
              <w:ind w:right="-1"/>
              <w:rPr>
                <w:rFonts w:ascii="Times New Roman" w:hAnsi="Times New Roman"/>
              </w:rPr>
            </w:pPr>
            <w:r w:rsidRPr="00192261">
              <w:rPr>
                <w:rFonts w:ascii="Times New Roman" w:hAnsi="Times New Roman"/>
              </w:rPr>
              <w:t xml:space="preserve">Этамбутол назначить при сохранении к нему чувствительности МБТ. Пиразинамид назначить на протяжении всего курса лечения. </w:t>
            </w:r>
          </w:p>
        </w:tc>
      </w:tr>
      <w:tr w:rsidR="00A97587" w:rsidRPr="00192261" w:rsidTr="002C7D0F">
        <w:trPr>
          <w:trHeight w:val="20"/>
          <w:jc w:val="center"/>
        </w:trPr>
        <w:tc>
          <w:tcPr>
            <w:tcW w:w="2787" w:type="dxa"/>
          </w:tcPr>
          <w:p w:rsidR="00A97587" w:rsidRPr="00192261" w:rsidRDefault="00A97587" w:rsidP="002C7D0F">
            <w:pPr>
              <w:spacing w:after="120" w:line="240" w:lineRule="auto"/>
              <w:ind w:right="34"/>
              <w:rPr>
                <w:rFonts w:ascii="Times New Roman" w:hAnsi="Times New Roman"/>
              </w:rPr>
            </w:pPr>
            <w:r w:rsidRPr="00192261">
              <w:rPr>
                <w:rFonts w:ascii="Times New Roman" w:hAnsi="Times New Roman"/>
              </w:rPr>
              <w:t>Группа №4 Бактериостатические препараты второго (резервного) ряда</w:t>
            </w:r>
          </w:p>
        </w:tc>
        <w:tc>
          <w:tcPr>
            <w:tcW w:w="2622" w:type="dxa"/>
          </w:tcPr>
          <w:p w:rsidR="00A97587" w:rsidRPr="00192261" w:rsidRDefault="00A97587" w:rsidP="002C7D0F">
            <w:pPr>
              <w:tabs>
                <w:tab w:val="left" w:pos="3044"/>
              </w:tabs>
              <w:spacing w:line="240" w:lineRule="auto"/>
              <w:rPr>
                <w:rFonts w:ascii="Times New Roman" w:hAnsi="Times New Roman"/>
              </w:rPr>
            </w:pPr>
            <w:r w:rsidRPr="00192261">
              <w:rPr>
                <w:rFonts w:ascii="Times New Roman" w:hAnsi="Times New Roman"/>
              </w:rPr>
              <w:t>Аминосалициловая кислота, циклосерин или теризидон, этионамид или протионамид</w:t>
            </w:r>
          </w:p>
        </w:tc>
        <w:tc>
          <w:tcPr>
            <w:tcW w:w="4647" w:type="dxa"/>
          </w:tcPr>
          <w:p w:rsidR="00A97587" w:rsidRPr="00192261" w:rsidRDefault="00A97587" w:rsidP="002C7D0F">
            <w:pPr>
              <w:spacing w:after="120" w:line="240" w:lineRule="auto"/>
              <w:ind w:right="-1"/>
              <w:rPr>
                <w:rFonts w:ascii="Times New Roman" w:hAnsi="Times New Roman"/>
              </w:rPr>
            </w:pPr>
            <w:r w:rsidRPr="00192261">
              <w:rPr>
                <w:rFonts w:ascii="Times New Roman" w:hAnsi="Times New Roman"/>
              </w:rPr>
              <w:t>Предпочтение должно быть отдано циклосерину/или теризидону и  аминосалициловой кислоте. Этионамид/или протионамид применять с учетом переносимости и лекарственной устойчивости.</w:t>
            </w:r>
          </w:p>
        </w:tc>
      </w:tr>
      <w:tr w:rsidR="00A97587" w:rsidRPr="00192261" w:rsidTr="0093162F">
        <w:trPr>
          <w:trHeight w:val="20"/>
          <w:jc w:val="center"/>
        </w:trPr>
        <w:tc>
          <w:tcPr>
            <w:tcW w:w="2787" w:type="dxa"/>
          </w:tcPr>
          <w:p w:rsidR="00A97587" w:rsidRPr="00192261" w:rsidRDefault="00A97587" w:rsidP="0093162F">
            <w:pPr>
              <w:spacing w:after="120" w:line="240" w:lineRule="auto"/>
              <w:ind w:right="34"/>
              <w:rPr>
                <w:rFonts w:ascii="Times New Roman" w:hAnsi="Times New Roman"/>
              </w:rPr>
            </w:pPr>
            <w:r w:rsidRPr="00192261">
              <w:rPr>
                <w:rFonts w:ascii="Times New Roman" w:hAnsi="Times New Roman"/>
              </w:rPr>
              <w:t>Группа №5</w:t>
            </w:r>
            <w:r>
              <w:rPr>
                <w:rFonts w:ascii="Times New Roman" w:hAnsi="Times New Roman"/>
              </w:rPr>
              <w:br/>
            </w:r>
            <w:r w:rsidRPr="00192261">
              <w:rPr>
                <w:rFonts w:ascii="Times New Roman" w:hAnsi="Times New Roman"/>
              </w:rPr>
              <w:t xml:space="preserve">Препараты, </w:t>
            </w:r>
            <w:r w:rsidRPr="00192261">
              <w:rPr>
                <w:rFonts w:ascii="Times New Roman" w:hAnsi="Times New Roman"/>
                <w:sz w:val="24"/>
                <w:szCs w:val="24"/>
              </w:rPr>
              <w:t>эффективность которых доказана для лечения туберкулеза</w:t>
            </w:r>
          </w:p>
        </w:tc>
        <w:tc>
          <w:tcPr>
            <w:tcW w:w="2622" w:type="dxa"/>
          </w:tcPr>
          <w:p w:rsidR="00A97587" w:rsidRDefault="00A97587" w:rsidP="0093162F">
            <w:pPr>
              <w:tabs>
                <w:tab w:val="left" w:pos="3044"/>
              </w:tabs>
              <w:spacing w:after="120" w:line="240" w:lineRule="auto"/>
              <w:rPr>
                <w:rFonts w:ascii="Times New Roman" w:hAnsi="Times New Roman"/>
              </w:rPr>
            </w:pPr>
            <w:r>
              <w:rPr>
                <w:rFonts w:ascii="Times New Roman" w:hAnsi="Times New Roman"/>
              </w:rPr>
              <w:t>Т</w:t>
            </w:r>
            <w:r w:rsidRPr="00192261">
              <w:rPr>
                <w:rFonts w:ascii="Times New Roman" w:hAnsi="Times New Roman"/>
              </w:rPr>
              <w:t>иоуреидоиминометилпиридиния перхлорат (перхлозон)</w:t>
            </w:r>
          </w:p>
          <w:p w:rsidR="00A97587" w:rsidRPr="001B6517" w:rsidRDefault="00A97587" w:rsidP="0093162F">
            <w:pPr>
              <w:pStyle w:val="ListBullet"/>
              <w:numPr>
                <w:ilvl w:val="0"/>
                <w:numId w:val="0"/>
              </w:numPr>
            </w:pPr>
            <w:r>
              <w:t>Б</w:t>
            </w:r>
            <w:r w:rsidRPr="001B6517">
              <w:t>едаквилин</w:t>
            </w:r>
          </w:p>
          <w:p w:rsidR="00A97587" w:rsidRPr="00192261" w:rsidRDefault="00A97587" w:rsidP="0093162F">
            <w:pPr>
              <w:tabs>
                <w:tab w:val="left" w:pos="3044"/>
              </w:tabs>
              <w:spacing w:after="120" w:line="240" w:lineRule="auto"/>
              <w:rPr>
                <w:rFonts w:ascii="Times New Roman" w:hAnsi="Times New Roman"/>
              </w:rPr>
            </w:pPr>
          </w:p>
        </w:tc>
        <w:tc>
          <w:tcPr>
            <w:tcW w:w="4647" w:type="dxa"/>
          </w:tcPr>
          <w:p w:rsidR="00A97587" w:rsidRDefault="00A97587" w:rsidP="0093162F">
            <w:pPr>
              <w:spacing w:after="120" w:line="240" w:lineRule="auto"/>
              <w:ind w:right="-1"/>
              <w:rPr>
                <w:rFonts w:ascii="Times New Roman" w:hAnsi="Times New Roman"/>
              </w:rPr>
            </w:pPr>
          </w:p>
          <w:p w:rsidR="00A97587" w:rsidRDefault="00A97587" w:rsidP="0093162F">
            <w:pPr>
              <w:spacing w:after="120" w:line="240" w:lineRule="auto"/>
              <w:ind w:right="-1"/>
              <w:rPr>
                <w:rFonts w:ascii="Times New Roman" w:hAnsi="Times New Roman"/>
              </w:rPr>
            </w:pPr>
          </w:p>
          <w:p w:rsidR="00A97587" w:rsidRPr="0093162F" w:rsidRDefault="00A97587" w:rsidP="0093162F">
            <w:pPr>
              <w:spacing w:after="120" w:line="240" w:lineRule="auto"/>
              <w:ind w:right="-1"/>
              <w:rPr>
                <w:rFonts w:ascii="Times New Roman" w:hAnsi="Times New Roman"/>
                <w:sz w:val="24"/>
                <w:szCs w:val="24"/>
              </w:rPr>
            </w:pPr>
            <w:r w:rsidRPr="0093162F">
              <w:rPr>
                <w:rFonts w:ascii="Times New Roman" w:hAnsi="Times New Roman"/>
                <w:sz w:val="24"/>
                <w:szCs w:val="24"/>
              </w:rPr>
              <w:t>Бедаквилин назначается в течение 6 месяцев</w:t>
            </w:r>
          </w:p>
        </w:tc>
      </w:tr>
    </w:tbl>
    <w:p w:rsidR="00A97587" w:rsidRPr="00571FB9" w:rsidRDefault="00A97587" w:rsidP="007623CB">
      <w:pPr>
        <w:pStyle w:val="BodyText"/>
        <w:spacing w:before="240" w:after="120"/>
        <w:rPr>
          <w:lang w:val="ru-RU"/>
        </w:rPr>
      </w:pPr>
      <w:r w:rsidRPr="00192261">
        <w:rPr>
          <w:lang w:val="ru-RU"/>
        </w:rPr>
        <w:t xml:space="preserve">Длительность интенсивной фазы должна составлять 6-8 месяцев и более до получения двух последовательных отрицательных результатов посева с интервалом в один месяц. При малых формах туберкулеза и отсутствии бактериовыделения методами микроскопии и посева длительность интенсивной фазы может быть уменьшена до 3-6 месяцев. Длительность фазы продолжения лечения –10-12 месяцев. Общая длительность химиотерапии МЛУ ТБ – </w:t>
      </w:r>
      <w:r w:rsidRPr="00370CD7">
        <w:rPr>
          <w:lang w:val="ru-RU"/>
        </w:rPr>
        <w:t>не более 2</w:t>
      </w:r>
      <w:r w:rsidRPr="00A42A8B">
        <w:rPr>
          <w:lang w:val="ru-RU"/>
        </w:rPr>
        <w:t>4</w:t>
      </w:r>
      <w:r w:rsidRPr="00192261">
        <w:rPr>
          <w:lang w:val="ru-RU"/>
        </w:rPr>
        <w:t xml:space="preserve"> месяцев.</w:t>
      </w:r>
    </w:p>
    <w:tbl>
      <w:tblPr>
        <w:tblW w:w="0" w:type="auto"/>
        <w:tblLook w:val="0000"/>
      </w:tblPr>
      <w:tblGrid>
        <w:gridCol w:w="648"/>
        <w:gridCol w:w="8922"/>
      </w:tblGrid>
      <w:tr w:rsidR="00A97587" w:rsidTr="007623CB">
        <w:tc>
          <w:tcPr>
            <w:tcW w:w="648" w:type="dxa"/>
            <w:shd w:val="clear" w:color="auto" w:fill="8C8C8C"/>
            <w:vAlign w:val="center"/>
          </w:tcPr>
          <w:p w:rsidR="00A97587" w:rsidRPr="00B130CE" w:rsidRDefault="00A97587" w:rsidP="003923F8">
            <w:pPr>
              <w:pStyle w:val="a0"/>
              <w:spacing w:before="60" w:after="60"/>
              <w:jc w:val="center"/>
              <w:rPr>
                <w:rFonts w:ascii="Arial" w:hAnsi="Arial"/>
                <w:b/>
                <w:color w:val="FFFFFF"/>
              </w:rPr>
            </w:pPr>
            <w:r w:rsidRPr="00B130CE">
              <w:rPr>
                <w:rFonts w:ascii="Arial" w:hAnsi="Arial"/>
                <w:b/>
                <w:color w:val="FFFFFF"/>
              </w:rPr>
              <w:t>С</w:t>
            </w:r>
          </w:p>
        </w:tc>
        <w:tc>
          <w:tcPr>
            <w:tcW w:w="8922" w:type="dxa"/>
            <w:vAlign w:val="center"/>
          </w:tcPr>
          <w:p w:rsidR="00A97587" w:rsidRPr="007623CB" w:rsidRDefault="00A97587" w:rsidP="003923F8">
            <w:pPr>
              <w:pStyle w:val="a0"/>
              <w:rPr>
                <w:rFonts w:ascii="Arial" w:hAnsi="Arial" w:cs="Cambria"/>
                <w:i/>
                <w:color w:val="000000"/>
                <w:lang w:eastAsia="ru-RU"/>
              </w:rPr>
            </w:pPr>
            <w:r w:rsidRPr="007623CB">
              <w:rPr>
                <w:rFonts w:ascii="Arial" w:hAnsi="Arial" w:cs="Cambria"/>
                <w:i/>
                <w:color w:val="000000"/>
                <w:lang w:eastAsia="ru-RU"/>
              </w:rPr>
              <w:t xml:space="preserve">Длительность химиотерапии </w:t>
            </w:r>
            <w:r w:rsidRPr="007623CB">
              <w:rPr>
                <w:rFonts w:ascii="Arial" w:hAnsi="Arial" w:cs="Cambria"/>
                <w:i/>
                <w:lang w:eastAsia="ru-RU"/>
              </w:rPr>
              <w:t>МЛУ ТБ</w:t>
            </w:r>
            <w:r w:rsidRPr="007623CB">
              <w:rPr>
                <w:rFonts w:ascii="Arial" w:hAnsi="Arial" w:cs="Cambria"/>
                <w:i/>
                <w:color w:val="000000"/>
                <w:lang w:eastAsia="ru-RU"/>
              </w:rPr>
              <w:t xml:space="preserve"> должна составлять не менее 18 месяцев</w:t>
            </w:r>
          </w:p>
        </w:tc>
      </w:tr>
      <w:tr w:rsidR="00A97587" w:rsidTr="007623CB">
        <w:tc>
          <w:tcPr>
            <w:tcW w:w="648" w:type="dxa"/>
            <w:shd w:val="clear" w:color="auto" w:fill="8C8C8C"/>
            <w:vAlign w:val="center"/>
          </w:tcPr>
          <w:p w:rsidR="00A97587" w:rsidRPr="00B130CE" w:rsidRDefault="00A97587" w:rsidP="003923F8">
            <w:pPr>
              <w:pStyle w:val="a0"/>
              <w:spacing w:before="60" w:after="60"/>
              <w:jc w:val="center"/>
              <w:rPr>
                <w:rFonts w:ascii="Arial" w:hAnsi="Arial"/>
                <w:b/>
                <w:color w:val="FFFFFF"/>
              </w:rPr>
            </w:pPr>
            <w:r w:rsidRPr="00B130CE">
              <w:rPr>
                <w:rFonts w:ascii="Arial" w:hAnsi="Arial"/>
                <w:b/>
                <w:color w:val="FFFFFF"/>
              </w:rPr>
              <w:t>С</w:t>
            </w:r>
          </w:p>
        </w:tc>
        <w:tc>
          <w:tcPr>
            <w:tcW w:w="8922" w:type="dxa"/>
            <w:vAlign w:val="center"/>
          </w:tcPr>
          <w:p w:rsidR="00A97587" w:rsidRPr="007623CB" w:rsidRDefault="00A97587" w:rsidP="003923F8">
            <w:pPr>
              <w:pStyle w:val="a0"/>
              <w:rPr>
                <w:rFonts w:ascii="Arial" w:hAnsi="Arial" w:cs="Cambria"/>
                <w:i/>
                <w:color w:val="000000"/>
                <w:lang w:eastAsia="ru-RU"/>
              </w:rPr>
            </w:pPr>
            <w:r w:rsidRPr="007623CB">
              <w:rPr>
                <w:rFonts w:ascii="Arial" w:hAnsi="Arial" w:cs="Cambria"/>
                <w:i/>
                <w:color w:val="000000"/>
                <w:lang w:eastAsia="ru-RU"/>
              </w:rPr>
              <w:t>Длительность интенсивной фазы режима химиотерапии при МЛУ ТБ должна составлять не менее 8 месяцев</w:t>
            </w:r>
          </w:p>
        </w:tc>
      </w:tr>
    </w:tbl>
    <w:p w:rsidR="00A97587" w:rsidRPr="00192261" w:rsidRDefault="00A97587" w:rsidP="000B4017">
      <w:pPr>
        <w:pStyle w:val="BodyText"/>
        <w:rPr>
          <w:lang w:val="ru-RU"/>
        </w:rPr>
      </w:pPr>
      <w:r w:rsidRPr="00192261">
        <w:rPr>
          <w:lang w:val="ru-RU"/>
        </w:rPr>
        <w:t xml:space="preserve">Интенсивная фаза лечения МЛУ ТБ проводится в специализированном стационаре (отделении) для лечения больных МЛУ ТБ. Фаза продолжения лечения проводится в санаторных и амбулаторных условиях при обязательном соблюдении всех принципов химиотерапии. </w:t>
      </w:r>
    </w:p>
    <w:p w:rsidR="00A97587" w:rsidRPr="00192261" w:rsidRDefault="00A97587" w:rsidP="000B4017">
      <w:pPr>
        <w:pStyle w:val="BodyText"/>
        <w:rPr>
          <w:lang w:val="ru-RU"/>
        </w:rPr>
      </w:pPr>
      <w:r w:rsidRPr="00192261">
        <w:rPr>
          <w:lang w:val="ru-RU"/>
        </w:rPr>
        <w:t xml:space="preserve">Во всех случаях вопрос о переходе к фазе продолжения и длительности лечения решает ВК. </w:t>
      </w:r>
    </w:p>
    <w:p w:rsidR="00A97587" w:rsidRPr="00192261" w:rsidRDefault="00A97587" w:rsidP="000B4017">
      <w:pPr>
        <w:pStyle w:val="BodyText"/>
        <w:rPr>
          <w:lang w:val="ru-RU"/>
        </w:rPr>
      </w:pPr>
      <w:r w:rsidRPr="00192261">
        <w:rPr>
          <w:lang w:val="ru-RU"/>
        </w:rPr>
        <w:t xml:space="preserve">Химиотерапия по </w:t>
      </w:r>
      <w:r w:rsidRPr="001B6517">
        <w:t>III</w:t>
      </w:r>
      <w:r w:rsidRPr="00192261">
        <w:rPr>
          <w:lang w:val="ru-RU"/>
        </w:rPr>
        <w:t xml:space="preserve"> режиму назначается только при гарантии наличия полного набора противотуберкулезных препаратов на весь курс лечения и приверженности больного к лечению.</w:t>
      </w:r>
    </w:p>
    <w:p w:rsidR="00A97587" w:rsidRDefault="00A97587" w:rsidP="002B16F6">
      <w:pPr>
        <w:pStyle w:val="BodyText"/>
        <w:keepLines/>
        <w:spacing w:after="120"/>
        <w:rPr>
          <w:lang w:val="ru-RU"/>
        </w:rPr>
      </w:pPr>
      <w:r>
        <w:rPr>
          <w:b/>
          <w:lang w:val="ru-RU"/>
        </w:rPr>
        <w:t>Р</w:t>
      </w:r>
      <w:r w:rsidRPr="00192261">
        <w:rPr>
          <w:b/>
          <w:lang w:val="ru-RU"/>
        </w:rPr>
        <w:t xml:space="preserve">ежим химиотерапии ШЛУ туберкулеза </w:t>
      </w:r>
      <w:r w:rsidRPr="00192261">
        <w:rPr>
          <w:lang w:val="ru-RU"/>
        </w:rPr>
        <w:t>назначают всем больным туберкулезом с установленной ЛУ микобактерий к изониазиду, рифампицину, фторхинолону и одному из аминогликозидов/или полипептиду (канамицину или амикацину или капреомицину) одновременно (по решению ЦВК туберкулезной больницы/фтизиопульмонологического центра</w:t>
      </w:r>
      <w:r w:rsidRPr="00192261">
        <w:rPr>
          <w:bCs/>
          <w:lang w:val="ru-RU"/>
        </w:rPr>
        <w:t xml:space="preserve"> субъекта РФ</w:t>
      </w:r>
      <w:r w:rsidRPr="00192261">
        <w:rPr>
          <w:lang w:val="ru-RU"/>
        </w:rPr>
        <w:t>).</w:t>
      </w:r>
      <w:r w:rsidRPr="007623CB" w:rsidDel="00357805">
        <w:rPr>
          <w:lang w:val="ru-RU"/>
        </w:rPr>
        <w:t xml:space="preserve"> </w:t>
      </w:r>
    </w:p>
    <w:tbl>
      <w:tblPr>
        <w:tblW w:w="9570" w:type="dxa"/>
        <w:tblLook w:val="0000"/>
      </w:tblPr>
      <w:tblGrid>
        <w:gridCol w:w="1099"/>
        <w:gridCol w:w="8471"/>
      </w:tblGrid>
      <w:tr w:rsidR="00A97587" w:rsidRPr="007623CB" w:rsidTr="007623CB">
        <w:tc>
          <w:tcPr>
            <w:tcW w:w="1099" w:type="dxa"/>
            <w:shd w:val="clear" w:color="auto" w:fill="8C8C8C"/>
          </w:tcPr>
          <w:p w:rsidR="00A97587" w:rsidRPr="002B16F6" w:rsidRDefault="00A97587" w:rsidP="007623CB">
            <w:pPr>
              <w:pStyle w:val="a0"/>
              <w:spacing w:before="60" w:after="60"/>
              <w:jc w:val="center"/>
              <w:rPr>
                <w:rFonts w:ascii="Arial" w:hAnsi="Arial"/>
                <w:b/>
                <w:color w:val="FFFFFF"/>
                <w:lang w:val="en-US"/>
              </w:rPr>
            </w:pPr>
            <w:r>
              <w:rPr>
                <w:rFonts w:ascii="Arial" w:hAnsi="Arial"/>
                <w:b/>
                <w:color w:val="FFFFFF"/>
                <w:lang w:val="en-US"/>
              </w:rPr>
              <w:t>D</w:t>
            </w:r>
          </w:p>
        </w:tc>
        <w:tc>
          <w:tcPr>
            <w:tcW w:w="8471" w:type="dxa"/>
          </w:tcPr>
          <w:p w:rsidR="00A97587" w:rsidRPr="007623CB" w:rsidRDefault="00A97587" w:rsidP="00956E06">
            <w:pPr>
              <w:pStyle w:val="a0"/>
              <w:rPr>
                <w:rFonts w:ascii="Arial" w:hAnsi="Arial" w:cs="Cambria"/>
                <w:i/>
                <w:color w:val="000000"/>
                <w:lang w:eastAsia="ru-RU"/>
              </w:rPr>
            </w:pPr>
            <w:r w:rsidRPr="007623CB">
              <w:rPr>
                <w:rFonts w:ascii="Arial" w:hAnsi="Arial" w:cs="Cambria"/>
                <w:i/>
                <w:color w:val="000000"/>
                <w:lang w:eastAsia="ru-RU"/>
              </w:rPr>
              <w:t>Режим химиотерапии ШЛУ ТБ должен состоять как минимум из 6 наиболее эффективных препаратов</w:t>
            </w:r>
          </w:p>
        </w:tc>
      </w:tr>
      <w:tr w:rsidR="00A97587" w:rsidRPr="007623CB" w:rsidTr="007623CB">
        <w:tc>
          <w:tcPr>
            <w:tcW w:w="1099" w:type="dxa"/>
            <w:shd w:val="clear" w:color="auto" w:fill="8C8C8C"/>
          </w:tcPr>
          <w:p w:rsidR="00A97587" w:rsidRPr="002B16F6" w:rsidRDefault="00A97587" w:rsidP="007623CB">
            <w:pPr>
              <w:pStyle w:val="a0"/>
              <w:spacing w:before="60" w:after="60"/>
              <w:jc w:val="center"/>
              <w:rPr>
                <w:rFonts w:ascii="Arial" w:hAnsi="Arial"/>
                <w:b/>
                <w:color w:val="FFFFFF"/>
                <w:lang w:val="en-US"/>
              </w:rPr>
            </w:pPr>
            <w:r>
              <w:rPr>
                <w:rFonts w:ascii="Arial" w:hAnsi="Arial"/>
                <w:b/>
                <w:color w:val="FFFFFF"/>
                <w:lang w:val="en-US"/>
              </w:rPr>
              <w:t>D</w:t>
            </w:r>
          </w:p>
        </w:tc>
        <w:tc>
          <w:tcPr>
            <w:tcW w:w="8471" w:type="dxa"/>
          </w:tcPr>
          <w:p w:rsidR="00A97587" w:rsidRPr="007623CB" w:rsidRDefault="00A97587" w:rsidP="007F7943">
            <w:pPr>
              <w:pStyle w:val="a0"/>
              <w:rPr>
                <w:rFonts w:ascii="Arial" w:hAnsi="Arial" w:cs="Cambria"/>
                <w:i/>
                <w:color w:val="000000"/>
                <w:lang w:eastAsia="ru-RU"/>
              </w:rPr>
            </w:pPr>
            <w:r w:rsidRPr="007623CB">
              <w:rPr>
                <w:rFonts w:ascii="Arial" w:hAnsi="Arial" w:cs="Cambria"/>
                <w:i/>
                <w:color w:val="000000"/>
                <w:lang w:eastAsia="ru-RU"/>
              </w:rPr>
              <w:t>Режим химиотерапии ШЛУ ТБ обязательно должен включать моксифлоксацин и пиразинамид</w:t>
            </w:r>
          </w:p>
        </w:tc>
      </w:tr>
    </w:tbl>
    <w:p w:rsidR="00A97587" w:rsidRDefault="00A97587" w:rsidP="000B4017">
      <w:pPr>
        <w:pStyle w:val="BodyText"/>
        <w:rPr>
          <w:b/>
          <w:lang w:val="ru-RU"/>
        </w:rPr>
      </w:pPr>
      <w:r w:rsidRPr="00192261">
        <w:rPr>
          <w:b/>
          <w:lang w:val="ru-RU"/>
        </w:rPr>
        <w:t xml:space="preserve">Лечение ШЛУ-ТБ носит индивидуальный характер. </w:t>
      </w:r>
    </w:p>
    <w:p w:rsidR="00A97587" w:rsidRPr="00192261" w:rsidRDefault="00A97587" w:rsidP="000B4017">
      <w:pPr>
        <w:pStyle w:val="BodyText"/>
        <w:rPr>
          <w:lang w:val="ru-RU"/>
        </w:rPr>
      </w:pPr>
      <w:r w:rsidRPr="00192261">
        <w:rPr>
          <w:lang w:val="ru-RU"/>
        </w:rPr>
        <w:t xml:space="preserve">По решению врачебной комиссии после проведения консилиума врачей, который созывается по инициативе лечащего врача, с информированным согласием пациента  назначается </w:t>
      </w:r>
      <w:r>
        <w:rPr>
          <w:lang w:val="ru-RU"/>
        </w:rPr>
        <w:t xml:space="preserve">следующее </w:t>
      </w:r>
      <w:r w:rsidRPr="00192261">
        <w:rPr>
          <w:lang w:val="ru-RU"/>
        </w:rPr>
        <w:t xml:space="preserve">индивидуальное лечение больному с ШЛУ-ТБ: </w:t>
      </w:r>
    </w:p>
    <w:p w:rsidR="00A97587" w:rsidRPr="001B6517" w:rsidRDefault="00A97587" w:rsidP="000B4017">
      <w:pPr>
        <w:pStyle w:val="ListBullet"/>
        <w:numPr>
          <w:ilvl w:val="0"/>
          <w:numId w:val="17"/>
        </w:numPr>
      </w:pPr>
      <w:r w:rsidRPr="001B6517">
        <w:t xml:space="preserve">все препараты 1-го ряда, к которым может быть сохранена чувствительность (пиразинамид и/или этамбутол и/или стрептомицин), </w:t>
      </w:r>
    </w:p>
    <w:p w:rsidR="00A97587" w:rsidRPr="001B6517" w:rsidRDefault="00A97587" w:rsidP="000B4017">
      <w:pPr>
        <w:pStyle w:val="ListBullet"/>
        <w:numPr>
          <w:ilvl w:val="0"/>
          <w:numId w:val="17"/>
        </w:numPr>
      </w:pPr>
      <w:r w:rsidRPr="001B6517">
        <w:t xml:space="preserve">капреомицин (при устойчивости к стрептомицину, канамицину, амикацину), </w:t>
      </w:r>
    </w:p>
    <w:p w:rsidR="00A97587" w:rsidRPr="001B6517" w:rsidRDefault="00A97587" w:rsidP="000B4017">
      <w:pPr>
        <w:pStyle w:val="ListBullet"/>
        <w:numPr>
          <w:ilvl w:val="0"/>
          <w:numId w:val="17"/>
        </w:numPr>
      </w:pPr>
      <w:r w:rsidRPr="001B6517">
        <w:t>левофлоксацин или фторхинолоны последнего поколения, официально не зарегистрированные как противотуберкулезные (моксифлоксацин, гатифлоксацин),</w:t>
      </w:r>
    </w:p>
    <w:p w:rsidR="00A97587" w:rsidRPr="001B6517" w:rsidRDefault="00A97587" w:rsidP="000B4017">
      <w:pPr>
        <w:pStyle w:val="ListBullet"/>
        <w:numPr>
          <w:ilvl w:val="0"/>
          <w:numId w:val="17"/>
        </w:numPr>
      </w:pPr>
      <w:r w:rsidRPr="001B6517">
        <w:t>препараты резервного ряда, к которым может быть сохранена чувствительность (протионамид/этионамид, циклосерин/теризидон или ПАСК),</w:t>
      </w:r>
    </w:p>
    <w:p w:rsidR="00A97587" w:rsidRPr="001B6517" w:rsidRDefault="00A97587" w:rsidP="000B4017">
      <w:pPr>
        <w:pStyle w:val="ListBullet"/>
        <w:numPr>
          <w:ilvl w:val="0"/>
          <w:numId w:val="17"/>
        </w:numPr>
      </w:pPr>
      <w:r w:rsidRPr="001B6517">
        <w:t>тиоуреидоиминометилпиридиния перхлорат (перхлозон)</w:t>
      </w:r>
      <w:r>
        <w:t>, бедаквилин</w:t>
      </w:r>
      <w:r w:rsidRPr="001B6517">
        <w:t xml:space="preserve">  и другие противотуберкулезные средства, имеющие разрешение для лечения МЛУ-ТБ,</w:t>
      </w:r>
    </w:p>
    <w:p w:rsidR="00A97587" w:rsidRPr="001B6517" w:rsidRDefault="00A97587" w:rsidP="000B4017">
      <w:pPr>
        <w:pStyle w:val="ListBullet"/>
        <w:numPr>
          <w:ilvl w:val="0"/>
          <w:numId w:val="17"/>
        </w:numPr>
      </w:pPr>
      <w:r w:rsidRPr="001B6517">
        <w:t>изониазид в высоких дозах внутривенно определенным группам больных.</w:t>
      </w:r>
    </w:p>
    <w:p w:rsidR="00A97587" w:rsidRDefault="00A97587" w:rsidP="002B16F6">
      <w:pPr>
        <w:pStyle w:val="BodyText"/>
        <w:rPr>
          <w:rFonts w:cs="Times New Roman"/>
          <w:kern w:val="24"/>
          <w:lang w:val="ru-RU"/>
        </w:rPr>
      </w:pPr>
      <w:r w:rsidRPr="00E471F8">
        <w:rPr>
          <w:rFonts w:cs="Times New Roman"/>
          <w:bCs/>
          <w:kern w:val="24"/>
          <w:lang w:val="ru-RU"/>
        </w:rPr>
        <w:t xml:space="preserve">Примерная </w:t>
      </w:r>
      <w:r w:rsidRPr="002B16F6">
        <w:rPr>
          <w:lang w:val="ru-RU"/>
        </w:rPr>
        <w:t>схема</w:t>
      </w:r>
      <w:r w:rsidRPr="00E471F8">
        <w:rPr>
          <w:rFonts w:cs="Times New Roman"/>
          <w:bCs/>
          <w:kern w:val="24"/>
          <w:lang w:val="ru-RU"/>
        </w:rPr>
        <w:t xml:space="preserve"> лечения</w:t>
      </w:r>
      <w:r>
        <w:rPr>
          <w:rFonts w:cs="Times New Roman"/>
          <w:bCs/>
          <w:kern w:val="24"/>
          <w:lang w:val="ru-RU"/>
        </w:rPr>
        <w:t xml:space="preserve">: </w:t>
      </w:r>
    </w:p>
    <w:p w:rsidR="00A97587" w:rsidRPr="00227C67" w:rsidRDefault="00A97587" w:rsidP="002B16F6">
      <w:pPr>
        <w:pStyle w:val="BodyText"/>
        <w:rPr>
          <w:rFonts w:cs="Times New Roman"/>
          <w:kern w:val="24"/>
          <w:lang w:val="ru-RU"/>
        </w:rPr>
      </w:pPr>
      <w:r w:rsidRPr="00227C67">
        <w:rPr>
          <w:rFonts w:eastAsia="Times New Roman" w:cs="Times New Roman"/>
          <w:bCs/>
          <w:iCs/>
          <w:lang w:val="fr-FR" w:eastAsia="ru-RU"/>
        </w:rPr>
        <w:t>Cm</w:t>
      </w:r>
      <w:r w:rsidRPr="00227C67">
        <w:rPr>
          <w:rFonts w:eastAsia="Times New Roman" w:cs="Times New Roman"/>
          <w:bCs/>
          <w:iCs/>
          <w:lang w:val="ru-RU" w:eastAsia="ru-RU"/>
        </w:rPr>
        <w:t xml:space="preserve"> </w:t>
      </w:r>
      <w:r w:rsidRPr="00227C67">
        <w:rPr>
          <w:rFonts w:eastAsia="Times New Roman" w:cs="Times New Roman"/>
          <w:bCs/>
          <w:iCs/>
          <w:lang w:val="fr-FR" w:eastAsia="ru-RU"/>
        </w:rPr>
        <w:t>Mfx</w:t>
      </w:r>
      <w:r w:rsidRPr="00227C67">
        <w:rPr>
          <w:rFonts w:eastAsia="Times New Roman" w:cs="Times New Roman"/>
          <w:bCs/>
          <w:iCs/>
          <w:lang w:val="ru-RU" w:eastAsia="ru-RU"/>
        </w:rPr>
        <w:t xml:space="preserve"> </w:t>
      </w:r>
      <w:r w:rsidRPr="00227C67">
        <w:rPr>
          <w:rFonts w:eastAsia="Times New Roman" w:cs="Times New Roman"/>
          <w:bCs/>
          <w:iCs/>
          <w:lang w:val="fr-FR" w:eastAsia="ru-RU"/>
        </w:rPr>
        <w:t>Z</w:t>
      </w:r>
      <w:r w:rsidRPr="00227C67">
        <w:rPr>
          <w:rFonts w:eastAsia="Times New Roman" w:cs="Times New Roman"/>
          <w:bCs/>
          <w:iCs/>
          <w:lang w:val="ru-RU" w:eastAsia="ru-RU"/>
        </w:rPr>
        <w:t xml:space="preserve"> </w:t>
      </w:r>
      <w:r w:rsidRPr="00227C67">
        <w:rPr>
          <w:rFonts w:eastAsia="Times New Roman" w:cs="Times New Roman"/>
          <w:bCs/>
          <w:iCs/>
          <w:lang w:val="fr-FR" w:eastAsia="ru-RU"/>
        </w:rPr>
        <w:t>Cs</w:t>
      </w:r>
      <w:r w:rsidRPr="00227C67">
        <w:rPr>
          <w:rFonts w:eastAsia="Times New Roman" w:cs="Times New Roman"/>
          <w:bCs/>
          <w:iCs/>
          <w:lang w:val="ru-RU" w:eastAsia="ru-RU"/>
        </w:rPr>
        <w:t>/</w:t>
      </w:r>
      <w:r w:rsidRPr="00227C67">
        <w:rPr>
          <w:rFonts w:eastAsia="Times New Roman" w:cs="Times New Roman"/>
          <w:bCs/>
          <w:iCs/>
          <w:lang w:val="fr-FR" w:eastAsia="ru-RU"/>
        </w:rPr>
        <w:t>Trd</w:t>
      </w:r>
      <w:r w:rsidRPr="00227C67">
        <w:rPr>
          <w:rFonts w:eastAsia="Times New Roman" w:cs="Times New Roman"/>
          <w:bCs/>
          <w:iCs/>
          <w:lang w:val="ru-RU" w:eastAsia="ru-RU"/>
        </w:rPr>
        <w:t xml:space="preserve"> </w:t>
      </w:r>
      <w:r w:rsidRPr="00227C67">
        <w:rPr>
          <w:rFonts w:eastAsia="Times New Roman" w:cs="Times New Roman"/>
          <w:bCs/>
          <w:iCs/>
          <w:lang w:val="fr-FR" w:eastAsia="ru-RU"/>
        </w:rPr>
        <w:t>PAS</w:t>
      </w:r>
      <w:r w:rsidRPr="00227C67">
        <w:rPr>
          <w:rFonts w:eastAsia="Times New Roman" w:cs="Times New Roman"/>
          <w:bCs/>
          <w:iCs/>
          <w:lang w:val="ru-RU" w:eastAsia="ru-RU"/>
        </w:rPr>
        <w:t>[</w:t>
      </w:r>
      <w:r w:rsidRPr="00227C67">
        <w:rPr>
          <w:rFonts w:eastAsia="Times New Roman" w:cs="Times New Roman"/>
          <w:bCs/>
          <w:iCs/>
          <w:lang w:eastAsia="ru-RU"/>
        </w:rPr>
        <w:t>E</w:t>
      </w:r>
      <w:r w:rsidRPr="00227C67">
        <w:rPr>
          <w:rFonts w:eastAsia="Times New Roman" w:cs="Times New Roman"/>
          <w:bCs/>
          <w:iCs/>
          <w:lang w:val="ru-RU" w:eastAsia="ru-RU"/>
        </w:rPr>
        <w:t xml:space="preserve">] </w:t>
      </w:r>
      <w:r>
        <w:rPr>
          <w:rFonts w:eastAsia="Times New Roman" w:cs="Times New Roman"/>
          <w:bCs/>
          <w:iCs/>
          <w:lang w:val="ru-RU" w:eastAsia="ru-RU"/>
        </w:rPr>
        <w:t>[</w:t>
      </w:r>
      <w:r w:rsidRPr="00227C67">
        <w:rPr>
          <w:rFonts w:eastAsia="Times New Roman" w:cs="Times New Roman"/>
          <w:bCs/>
          <w:iCs/>
          <w:lang w:val="fr-FR" w:eastAsia="ru-RU"/>
        </w:rPr>
        <w:t>Tp</w:t>
      </w:r>
      <w:r w:rsidRPr="00A0111B">
        <w:rPr>
          <w:rFonts w:eastAsia="Times New Roman" w:cs="Times New Roman"/>
          <w:bCs/>
          <w:iCs/>
          <w:lang w:val="ru-RU" w:eastAsia="ru-RU"/>
        </w:rPr>
        <w:t>]</w:t>
      </w:r>
      <w:r w:rsidRPr="00227C67">
        <w:rPr>
          <w:rFonts w:eastAsia="Times New Roman" w:cs="Times New Roman"/>
          <w:bCs/>
          <w:iCs/>
          <w:lang w:val="ru-RU" w:eastAsia="ru-RU"/>
        </w:rPr>
        <w:t xml:space="preserve">  </w:t>
      </w:r>
      <w:r w:rsidRPr="00A0111B">
        <w:rPr>
          <w:rFonts w:cs="Times New Roman"/>
          <w:lang w:val="ru-RU"/>
        </w:rPr>
        <w:t>[</w:t>
      </w:r>
      <w:r w:rsidRPr="00227C67">
        <w:rPr>
          <w:rFonts w:cs="Times New Roman"/>
          <w:lang w:val="fr-FR"/>
        </w:rPr>
        <w:t>B</w:t>
      </w:r>
      <w:r>
        <w:rPr>
          <w:rFonts w:cs="Times New Roman"/>
        </w:rPr>
        <w:t>q</w:t>
      </w:r>
      <w:r w:rsidRPr="00A0111B">
        <w:rPr>
          <w:rFonts w:cs="Times New Roman"/>
          <w:lang w:val="ru-RU"/>
        </w:rPr>
        <w:t>]</w:t>
      </w:r>
      <w:r w:rsidRPr="00227C67">
        <w:rPr>
          <w:rFonts w:eastAsia="Times New Roman" w:cs="Times New Roman"/>
          <w:bCs/>
          <w:iCs/>
          <w:lang w:val="ru-RU" w:eastAsia="ru-RU"/>
        </w:rPr>
        <w:t xml:space="preserve"> [</w:t>
      </w:r>
      <w:r w:rsidRPr="00227C67">
        <w:rPr>
          <w:rFonts w:eastAsia="Times New Roman" w:cs="Times New Roman"/>
          <w:bCs/>
          <w:iCs/>
          <w:lang w:val="fr-FR" w:eastAsia="ru-RU"/>
        </w:rPr>
        <w:t>Lzd</w:t>
      </w:r>
      <w:r w:rsidRPr="00227C67">
        <w:rPr>
          <w:rFonts w:eastAsia="Times New Roman" w:cs="Times New Roman"/>
          <w:bCs/>
          <w:iCs/>
          <w:lang w:val="ru-RU" w:eastAsia="ru-RU"/>
        </w:rPr>
        <w:t xml:space="preserve"> </w:t>
      </w:r>
      <w:r w:rsidRPr="00227C67">
        <w:rPr>
          <w:rFonts w:eastAsia="Times New Roman" w:cs="Times New Roman"/>
          <w:bCs/>
          <w:iCs/>
          <w:lang w:val="fr-FR" w:eastAsia="ru-RU"/>
        </w:rPr>
        <w:t>Amx</w:t>
      </w:r>
      <w:r w:rsidRPr="00227C67">
        <w:rPr>
          <w:rFonts w:eastAsia="Times New Roman" w:cs="Times New Roman"/>
          <w:bCs/>
          <w:iCs/>
          <w:lang w:val="ru-RU" w:eastAsia="ru-RU"/>
        </w:rPr>
        <w:t xml:space="preserve"> </w:t>
      </w:r>
      <w:r w:rsidRPr="00227C67">
        <w:rPr>
          <w:rFonts w:eastAsia="Times New Roman" w:cs="Times New Roman"/>
          <w:bCs/>
          <w:iCs/>
          <w:lang w:eastAsia="ru-RU"/>
        </w:rPr>
        <w:t>Imp</w:t>
      </w:r>
      <w:r w:rsidRPr="00227C67">
        <w:rPr>
          <w:rFonts w:eastAsia="Times New Roman" w:cs="Times New Roman"/>
          <w:bCs/>
          <w:iCs/>
          <w:lang w:val="ru-RU" w:eastAsia="ru-RU"/>
        </w:rPr>
        <w:t xml:space="preserve"> </w:t>
      </w:r>
      <w:r w:rsidRPr="00227C67">
        <w:rPr>
          <w:rFonts w:eastAsia="Times New Roman" w:cs="Times New Roman"/>
          <w:bCs/>
          <w:iCs/>
          <w:lang w:eastAsia="ru-RU"/>
        </w:rPr>
        <w:t>Clr</w:t>
      </w:r>
      <w:r w:rsidRPr="00227C67">
        <w:rPr>
          <w:rFonts w:eastAsia="Times New Roman" w:cs="Times New Roman"/>
          <w:bCs/>
          <w:iCs/>
          <w:lang w:val="ru-RU" w:eastAsia="ru-RU"/>
        </w:rPr>
        <w:t>*] [</w:t>
      </w:r>
      <w:r w:rsidRPr="00227C67">
        <w:rPr>
          <w:rFonts w:eastAsia="Times New Roman" w:cs="Times New Roman"/>
          <w:bCs/>
          <w:iCs/>
          <w:lang w:eastAsia="ru-RU"/>
        </w:rPr>
        <w:t>H</w:t>
      </w:r>
      <w:r w:rsidRPr="00227C67">
        <w:rPr>
          <w:rFonts w:eastAsia="Times New Roman" w:cs="Times New Roman"/>
          <w:bCs/>
          <w:iCs/>
          <w:lang w:val="ru-RU" w:eastAsia="ru-RU"/>
        </w:rPr>
        <w:t>].</w:t>
      </w:r>
    </w:p>
    <w:p w:rsidR="00A97587" w:rsidRPr="00192261" w:rsidRDefault="00A97587" w:rsidP="000B4017">
      <w:pPr>
        <w:pStyle w:val="BodyText"/>
        <w:rPr>
          <w:lang w:val="ru-RU"/>
        </w:rPr>
      </w:pPr>
      <w:r w:rsidRPr="00192261">
        <w:rPr>
          <w:lang w:val="ru-RU"/>
        </w:rPr>
        <w:t>Если спектр лекарственной устойчивости широкий и среди лекарств, к которым сохранена чувствительность, нет набора из 4-5 препаратов, к лечению могут быть добавлены сострадательные лекарственные средства</w:t>
      </w:r>
      <w:r>
        <w:rPr>
          <w:lang w:val="ru-RU"/>
        </w:rPr>
        <w:t>*</w:t>
      </w:r>
      <w:r w:rsidRPr="00192261">
        <w:rPr>
          <w:lang w:val="ru-RU"/>
        </w:rPr>
        <w:t>:</w:t>
      </w:r>
    </w:p>
    <w:p w:rsidR="00A97587" w:rsidRPr="001B6517" w:rsidRDefault="00A97587" w:rsidP="000B4017">
      <w:pPr>
        <w:pStyle w:val="ListBullet"/>
        <w:numPr>
          <w:ilvl w:val="0"/>
          <w:numId w:val="17"/>
        </w:numPr>
      </w:pPr>
      <w:r w:rsidRPr="001B6517">
        <w:t>линезолид</w:t>
      </w:r>
      <w:r>
        <w:t xml:space="preserve"> </w:t>
      </w:r>
      <w:r w:rsidRPr="001B6517">
        <w:t>,</w:t>
      </w:r>
    </w:p>
    <w:p w:rsidR="00A97587" w:rsidRPr="001B6517" w:rsidRDefault="00A97587" w:rsidP="000B4017">
      <w:pPr>
        <w:pStyle w:val="ListBullet"/>
        <w:numPr>
          <w:ilvl w:val="0"/>
          <w:numId w:val="17"/>
        </w:numPr>
      </w:pPr>
      <w:r w:rsidRPr="001B6517">
        <w:t>кларитромицин,</w:t>
      </w:r>
    </w:p>
    <w:p w:rsidR="00A97587" w:rsidRPr="001B6517" w:rsidRDefault="00A97587" w:rsidP="000B4017">
      <w:pPr>
        <w:pStyle w:val="ListBullet"/>
        <w:numPr>
          <w:ilvl w:val="0"/>
          <w:numId w:val="17"/>
        </w:numPr>
      </w:pPr>
      <w:r w:rsidRPr="001B6517">
        <w:t xml:space="preserve">имипенем с циластатином, </w:t>
      </w:r>
    </w:p>
    <w:p w:rsidR="00A97587" w:rsidRDefault="00A97587" w:rsidP="000B4017">
      <w:pPr>
        <w:pStyle w:val="ListBullet"/>
        <w:numPr>
          <w:ilvl w:val="0"/>
          <w:numId w:val="17"/>
        </w:numPr>
      </w:pPr>
      <w:r w:rsidRPr="001B6517">
        <w:t>амоксициллин с клавулановой кислотой.</w:t>
      </w:r>
    </w:p>
    <w:p w:rsidR="00A97587" w:rsidRDefault="00A97587" w:rsidP="00704F36">
      <w:pPr>
        <w:pStyle w:val="ListBullet"/>
        <w:numPr>
          <w:ilvl w:val="0"/>
          <w:numId w:val="0"/>
        </w:numPr>
        <w:ind w:left="360" w:hanging="360"/>
        <w:rPr>
          <w:rFonts w:ascii="Calibri" w:hAnsi="Calibri"/>
          <w:sz w:val="20"/>
          <w:szCs w:val="20"/>
        </w:rPr>
      </w:pPr>
    </w:p>
    <w:p w:rsidR="00A97587" w:rsidRPr="00147134" w:rsidRDefault="00A97587" w:rsidP="002A6927">
      <w:pPr>
        <w:pStyle w:val="ListBullet"/>
        <w:numPr>
          <w:ilvl w:val="0"/>
          <w:numId w:val="0"/>
        </w:numPr>
        <w:jc w:val="both"/>
        <w:rPr>
          <w:rFonts w:ascii="Calibri" w:hAnsi="Calibri"/>
          <w:sz w:val="20"/>
          <w:szCs w:val="20"/>
        </w:rPr>
      </w:pPr>
      <w:r w:rsidRPr="00147134">
        <w:rPr>
          <w:rFonts w:ascii="Calibri" w:hAnsi="Calibri"/>
          <w:sz w:val="20"/>
          <w:szCs w:val="20"/>
        </w:rPr>
        <w:t>*Препараты, не зарегистрированные в РФ как противотуберкулезные,: Lzd- линезолид, Amx – амоксициллин с клавулановой кислотой, Imp - имипенем с циластатином, Clr – кларитромицин</w:t>
      </w:r>
      <w:r>
        <w:rPr>
          <w:rFonts w:ascii="Calibri" w:hAnsi="Calibri"/>
          <w:sz w:val="20"/>
          <w:szCs w:val="20"/>
        </w:rPr>
        <w:t>.</w:t>
      </w:r>
      <w:r w:rsidRPr="003D3C92">
        <w:rPr>
          <w:rFonts w:ascii="Calibri" w:hAnsi="Calibri"/>
          <w:sz w:val="20"/>
          <w:szCs w:val="20"/>
        </w:rPr>
        <w:t xml:space="preserve"> </w:t>
      </w:r>
    </w:p>
    <w:p w:rsidR="00A97587" w:rsidRPr="00192261" w:rsidRDefault="00A97587" w:rsidP="000B4017">
      <w:pPr>
        <w:pStyle w:val="BodyText"/>
        <w:rPr>
          <w:lang w:val="ru-RU"/>
        </w:rPr>
      </w:pPr>
      <w:r w:rsidRPr="00192261">
        <w:rPr>
          <w:lang w:val="ru-RU"/>
        </w:rPr>
        <w:t>Необходимо учитывать, что валидированный метод определения устойчивости/чувствительности к линезалиду отсутствует, поэтому лабораторные результаты могут расходиться с клиническим результатом.</w:t>
      </w:r>
    </w:p>
    <w:p w:rsidR="00A97587" w:rsidRPr="00265D1B" w:rsidRDefault="00A97587" w:rsidP="000B4017">
      <w:pPr>
        <w:pStyle w:val="BodyText"/>
        <w:rPr>
          <w:rFonts w:cs="Times New Roman"/>
          <w:lang w:val="ru-RU"/>
        </w:rPr>
      </w:pPr>
      <w:r w:rsidRPr="00265D1B">
        <w:rPr>
          <w:rFonts w:cs="Times New Roman"/>
          <w:lang w:val="ru-RU"/>
        </w:rPr>
        <w:t>Если длительность лечения больного должна быть больше, чем разрешено в инструкции к ПТП, длительность лечения больного может быть увеличена после проведения консилиума врачей и в соответствии с решением врачебной комиссии.</w:t>
      </w:r>
    </w:p>
    <w:p w:rsidR="00A97587" w:rsidRDefault="00A97587" w:rsidP="000B4017">
      <w:pPr>
        <w:pStyle w:val="BodyText"/>
        <w:rPr>
          <w:bCs/>
          <w:lang w:val="ru-RU"/>
        </w:rPr>
      </w:pPr>
      <w:r w:rsidRPr="00192261">
        <w:rPr>
          <w:bCs/>
          <w:lang w:val="ru-RU"/>
        </w:rPr>
        <w:t>Длительность интенсивной фазы при ШЛУ ТБ – 8 месяцев или более до получения четырех отрицательных результатов посева на жидких и/или твердых средах.</w:t>
      </w:r>
    </w:p>
    <w:p w:rsidR="00A97587" w:rsidRPr="002D1C2D" w:rsidRDefault="00A97587" w:rsidP="000B4017">
      <w:pPr>
        <w:pStyle w:val="BodyText"/>
        <w:rPr>
          <w:bCs/>
          <w:lang w:val="ru-RU"/>
        </w:rPr>
      </w:pPr>
      <w:r w:rsidRPr="002D1C2D">
        <w:rPr>
          <w:lang w:val="ru-RU"/>
        </w:rPr>
        <w:t xml:space="preserve">В фазу продолжения применяют минимум </w:t>
      </w:r>
      <w:r>
        <w:rPr>
          <w:lang w:val="ru-RU"/>
        </w:rPr>
        <w:t>4</w:t>
      </w:r>
      <w:bookmarkStart w:id="61" w:name="_GoBack"/>
      <w:bookmarkEnd w:id="61"/>
      <w:r w:rsidRPr="002D1C2D">
        <w:rPr>
          <w:lang w:val="ru-RU"/>
        </w:rPr>
        <w:t xml:space="preserve"> противотуберкулезных препаратов, к которым сохранена чувствительность.</w:t>
      </w:r>
    </w:p>
    <w:p w:rsidR="00A97587" w:rsidRPr="00192261" w:rsidRDefault="00A97587" w:rsidP="000B4017">
      <w:pPr>
        <w:pStyle w:val="BodyText"/>
        <w:rPr>
          <w:bCs/>
          <w:lang w:val="ru-RU"/>
        </w:rPr>
      </w:pPr>
      <w:r w:rsidRPr="00192261">
        <w:rPr>
          <w:bCs/>
          <w:lang w:val="ru-RU"/>
        </w:rPr>
        <w:t>Общая длительность лечения больных ШЛУ ТБ не менее 24 месяцев.</w:t>
      </w:r>
    </w:p>
    <w:p w:rsidR="00A97587" w:rsidRPr="00192261" w:rsidRDefault="00A97587" w:rsidP="000B4017">
      <w:pPr>
        <w:pStyle w:val="BodyText"/>
        <w:rPr>
          <w:bCs/>
          <w:lang w:val="ru-RU"/>
        </w:rPr>
      </w:pPr>
      <w:r w:rsidRPr="00E471F8">
        <w:rPr>
          <w:bCs/>
          <w:lang w:val="ru-RU"/>
        </w:rPr>
        <w:t xml:space="preserve">Решение о назначении больному ШЛУ ТБ режима химиотерапии принимается ЦВК </w:t>
      </w:r>
      <w:r w:rsidRPr="00E471F8">
        <w:rPr>
          <w:lang w:val="ru-RU"/>
        </w:rPr>
        <w:t>туберкулезной больницы/фтизиопульмонологического центра</w:t>
      </w:r>
      <w:r w:rsidRPr="00E471F8">
        <w:rPr>
          <w:bCs/>
          <w:lang w:val="ru-RU"/>
        </w:rPr>
        <w:t xml:space="preserve"> субъекта РФ</w:t>
      </w:r>
      <w:r w:rsidRPr="00192261">
        <w:rPr>
          <w:bCs/>
          <w:lang w:val="ru-RU"/>
        </w:rPr>
        <w:t>.</w:t>
      </w:r>
    </w:p>
    <w:p w:rsidR="00A97587" w:rsidRPr="00192261" w:rsidRDefault="00A97587" w:rsidP="000B4017">
      <w:pPr>
        <w:pStyle w:val="BodyText"/>
        <w:rPr>
          <w:bCs/>
          <w:lang w:val="ru-RU"/>
        </w:rPr>
      </w:pPr>
      <w:r w:rsidRPr="00192261">
        <w:rPr>
          <w:bCs/>
          <w:lang w:val="ru-RU"/>
        </w:rPr>
        <w:t>Препараты, не зарегистрированные в РФ как противотуберкулезные, должны быть включены в режим химиотерапии больного ШЛУ ТБ по решению ВК противотуберкулезного учреждения по жизненным показаниям на весь курс лечения. Продление длительности применения лекарственных препаратов, не зарегистрированных в РФ как противотуберкулезные, свыше срока указанного в инструкции оформляется ВК.</w:t>
      </w:r>
    </w:p>
    <w:p w:rsidR="00A97587" w:rsidRPr="00192261" w:rsidRDefault="00A97587" w:rsidP="000B4017">
      <w:pPr>
        <w:pStyle w:val="BodyText"/>
        <w:rPr>
          <w:lang w:val="ru-RU"/>
        </w:rPr>
      </w:pPr>
      <w:r w:rsidRPr="00192261">
        <w:rPr>
          <w:b/>
          <w:lang w:val="ru-RU"/>
        </w:rPr>
        <w:t xml:space="preserve">Прием препаратов по </w:t>
      </w:r>
      <w:r w:rsidRPr="001B6517">
        <w:rPr>
          <w:b/>
        </w:rPr>
        <w:t>III</w:t>
      </w:r>
      <w:r w:rsidRPr="00192261">
        <w:rPr>
          <w:b/>
          <w:lang w:val="ru-RU"/>
        </w:rPr>
        <w:t xml:space="preserve"> режим</w:t>
      </w:r>
      <w:r>
        <w:rPr>
          <w:b/>
          <w:lang w:val="ru-RU"/>
        </w:rPr>
        <w:t>у и при ШЛУ ТБ</w:t>
      </w:r>
      <w:r w:rsidRPr="00192261">
        <w:rPr>
          <w:lang w:val="ru-RU"/>
        </w:rPr>
        <w:t xml:space="preserve"> осуществляется ежедневно 7 дней в неделю в интенсивной фазе, и 6 дней в неделю в фазе продолжения. </w:t>
      </w:r>
    </w:p>
    <w:p w:rsidR="00A97587" w:rsidRPr="00192261" w:rsidRDefault="00A97587" w:rsidP="000B4017">
      <w:pPr>
        <w:pStyle w:val="BodyText"/>
        <w:rPr>
          <w:b/>
          <w:lang w:val="ru-RU"/>
        </w:rPr>
      </w:pPr>
      <w:r w:rsidRPr="00192261">
        <w:rPr>
          <w:lang w:val="ru-RU"/>
        </w:rPr>
        <w:t>Суточная доза в стационаре принимается в один, два или три приема, а амбулаторных условиях – в один прием. Больные, получающие ПТП дробно в стационаре, по меньшей мере, за 2 недели до выписки переводятся на однократный прием.</w:t>
      </w:r>
    </w:p>
    <w:p w:rsidR="00A97587" w:rsidRDefault="00A97587" w:rsidP="0080512A">
      <w:pPr>
        <w:pStyle w:val="BodyText"/>
        <w:spacing w:after="120"/>
      </w:pPr>
      <w:r w:rsidRPr="00192261">
        <w:rPr>
          <w:lang w:val="ru-RU"/>
        </w:rPr>
        <w:t xml:space="preserve">Химиотерапия по </w:t>
      </w:r>
      <w:r>
        <w:t>III</w:t>
      </w:r>
      <w:r w:rsidRPr="004D0EF1">
        <w:rPr>
          <w:lang w:val="ru-RU"/>
        </w:rPr>
        <w:t xml:space="preserve"> </w:t>
      </w:r>
      <w:r>
        <w:rPr>
          <w:lang w:val="ru-RU"/>
        </w:rPr>
        <w:t>и при ШЛУ ТБ</w:t>
      </w:r>
      <w:r w:rsidRPr="00192261">
        <w:rPr>
          <w:lang w:val="ru-RU"/>
        </w:rPr>
        <w:t xml:space="preserve"> назначается с учетом веса и коррекцией дозировок по мере его увеличения. </w:t>
      </w:r>
    </w:p>
    <w:p w:rsidR="00A97587" w:rsidRPr="00A0111B" w:rsidRDefault="00A97587" w:rsidP="0080512A">
      <w:pPr>
        <w:pStyle w:val="BodyText"/>
        <w:spacing w:after="120"/>
      </w:pPr>
    </w:p>
    <w:p w:rsidR="00A97587" w:rsidRPr="001B6517" w:rsidRDefault="00A97587" w:rsidP="00136C1B">
      <w:pPr>
        <w:pStyle w:val="Heading2"/>
        <w:numPr>
          <w:ilvl w:val="1"/>
          <w:numId w:val="16"/>
        </w:numPr>
        <w:ind w:left="0" w:firstLine="0"/>
        <w:rPr>
          <w:caps/>
        </w:rPr>
      </w:pPr>
      <w:bookmarkStart w:id="62" w:name="_Toc373846950"/>
      <w:bookmarkStart w:id="63" w:name="_Toc373847366"/>
      <w:bookmarkStart w:id="64" w:name="_Toc373847448"/>
      <w:bookmarkStart w:id="65" w:name="_Toc373847502"/>
      <w:bookmarkStart w:id="66" w:name="_Toc373847367"/>
      <w:bookmarkStart w:id="67" w:name="_Toc374016064"/>
      <w:bookmarkEnd w:id="62"/>
      <w:bookmarkEnd w:id="63"/>
      <w:bookmarkEnd w:id="64"/>
      <w:bookmarkEnd w:id="65"/>
      <w:r w:rsidRPr="001B6517">
        <w:t>Химиотерапия на основе результатов молекулярно-генетических методов</w:t>
      </w:r>
      <w:bookmarkEnd w:id="66"/>
      <w:bookmarkEnd w:id="67"/>
    </w:p>
    <w:p w:rsidR="00A97587" w:rsidRPr="00192261" w:rsidRDefault="00A97587" w:rsidP="00265D1B">
      <w:pPr>
        <w:pStyle w:val="BodyText"/>
        <w:rPr>
          <w:b/>
          <w:lang w:val="ru-RU"/>
        </w:rPr>
      </w:pPr>
      <w:r w:rsidRPr="00192261">
        <w:rPr>
          <w:b/>
          <w:lang w:val="ru-RU"/>
        </w:rPr>
        <w:t xml:space="preserve">Перед началом лечения у каждого больного туберкулезом исследуются два образца диагностического материала на содержание МБТ молекулярно-генетическим и культуральным методом на жидких и твердых средах с определением </w:t>
      </w:r>
      <w:r>
        <w:rPr>
          <w:b/>
          <w:lang w:val="ru-RU"/>
        </w:rPr>
        <w:t xml:space="preserve">лекарственной устойчивости молекулярно-генетическими методами и </w:t>
      </w:r>
      <w:r w:rsidRPr="00192261">
        <w:rPr>
          <w:b/>
          <w:lang w:val="ru-RU"/>
        </w:rPr>
        <w:t>спектра лекарственной чувствительности возбудителя</w:t>
      </w:r>
      <w:r>
        <w:rPr>
          <w:b/>
          <w:lang w:val="ru-RU"/>
        </w:rPr>
        <w:t xml:space="preserve"> – микробиологическими методами</w:t>
      </w:r>
      <w:r w:rsidRPr="00192261">
        <w:rPr>
          <w:b/>
          <w:lang w:val="ru-RU"/>
        </w:rPr>
        <w:t xml:space="preserve">. </w:t>
      </w:r>
    </w:p>
    <w:p w:rsidR="00A97587" w:rsidRPr="00192261" w:rsidRDefault="00A97587" w:rsidP="000B4017">
      <w:pPr>
        <w:pStyle w:val="BodyText"/>
        <w:rPr>
          <w:lang w:val="ru-RU"/>
        </w:rPr>
      </w:pPr>
      <w:r w:rsidRPr="00192261">
        <w:rPr>
          <w:lang w:val="ru-RU"/>
        </w:rPr>
        <w:t>При использовании молекулярно-генетических методов диагностики лекарственной чувствительности МБТ назначение/коррекцию режима химиотерапии проводят в два этапа:</w:t>
      </w:r>
    </w:p>
    <w:p w:rsidR="00A97587" w:rsidRPr="00192261" w:rsidRDefault="00A97587" w:rsidP="000B4017">
      <w:pPr>
        <w:pStyle w:val="BodyText"/>
        <w:rPr>
          <w:lang w:val="ru-RU"/>
        </w:rPr>
      </w:pPr>
      <w:r w:rsidRPr="00192261">
        <w:rPr>
          <w:lang w:val="ru-RU"/>
        </w:rPr>
        <w:t>1. Первоначально на основании данных индивидуального ТЛЧ, полученного с использованием молекулярно-генетических методов.</w:t>
      </w:r>
    </w:p>
    <w:p w:rsidR="00A97587" w:rsidRPr="00192261" w:rsidRDefault="00A97587" w:rsidP="000B4017">
      <w:pPr>
        <w:pStyle w:val="BodyText"/>
        <w:rPr>
          <w:lang w:val="ru-RU"/>
        </w:rPr>
      </w:pPr>
      <w:r w:rsidRPr="00192261">
        <w:rPr>
          <w:lang w:val="ru-RU"/>
        </w:rPr>
        <w:t>2. В последующем на основании результата ТЛЧ на жидких или твердых средах к препаратам основного и резервного ряда. При двукратном подтверждении ЛУ к изониазиду и рифампицину молекулярно-генетическим методом на предыдущем этапе исследования лекарственной чувствительности методами посева к этим препаратам не проводятся.</w:t>
      </w:r>
    </w:p>
    <w:p w:rsidR="00A97587" w:rsidRPr="00192261" w:rsidRDefault="00A97587" w:rsidP="000B4017">
      <w:pPr>
        <w:pStyle w:val="BodyText"/>
        <w:rPr>
          <w:lang w:val="ru-RU"/>
        </w:rPr>
      </w:pPr>
      <w:r w:rsidRPr="00192261">
        <w:rPr>
          <w:lang w:val="ru-RU"/>
        </w:rPr>
        <w:t>При расхождении данных ТЛЧ  для принятия клинических решений учитывается обнаружение  лекарственной  устойчивости микобактерий к изониазиду и/или рифампицину  любым сертифицированным методом исследования.</w:t>
      </w:r>
    </w:p>
    <w:p w:rsidR="00A97587" w:rsidRDefault="00A97587" w:rsidP="0076059C">
      <w:pPr>
        <w:spacing w:before="120" w:line="240" w:lineRule="auto"/>
        <w:ind w:firstLine="357"/>
        <w:jc w:val="right"/>
        <w:rPr>
          <w:b/>
          <w:sz w:val="24"/>
          <w:szCs w:val="24"/>
        </w:rPr>
      </w:pPr>
    </w:p>
    <w:p w:rsidR="00A97587" w:rsidRDefault="00A97587" w:rsidP="0076059C">
      <w:pPr>
        <w:spacing w:before="120" w:line="240" w:lineRule="auto"/>
        <w:ind w:firstLine="357"/>
        <w:jc w:val="right"/>
        <w:rPr>
          <w:b/>
          <w:sz w:val="24"/>
          <w:szCs w:val="24"/>
        </w:rPr>
      </w:pPr>
      <w:r w:rsidRPr="001B6517">
        <w:rPr>
          <w:b/>
          <w:sz w:val="24"/>
          <w:szCs w:val="24"/>
        </w:rPr>
        <w:t xml:space="preserve">Таблица </w:t>
      </w:r>
      <w:r>
        <w:rPr>
          <w:b/>
          <w:sz w:val="24"/>
          <w:szCs w:val="24"/>
        </w:rPr>
        <w:t>7</w:t>
      </w:r>
    </w:p>
    <w:p w:rsidR="00A97587" w:rsidRPr="001B6517" w:rsidRDefault="00A97587" w:rsidP="0076059C">
      <w:pPr>
        <w:spacing w:before="120" w:line="240" w:lineRule="auto"/>
        <w:ind w:firstLine="357"/>
        <w:jc w:val="right"/>
        <w:rPr>
          <w:b/>
          <w:sz w:val="24"/>
          <w:szCs w:val="24"/>
        </w:rPr>
      </w:pPr>
      <w:r w:rsidRPr="001B6517">
        <w:rPr>
          <w:b/>
          <w:sz w:val="24"/>
          <w:szCs w:val="24"/>
        </w:rPr>
        <w:t>Режимы химиотерапии, основанные на результатах определения чувствительности МБТ к рифампицину  молекулярно-генетическим методом (МГМ)</w:t>
      </w:r>
    </w:p>
    <w:tbl>
      <w:tblPr>
        <w:tblW w:w="0" w:type="auto"/>
        <w:tblLook w:val="01E0"/>
      </w:tblPr>
      <w:tblGrid>
        <w:gridCol w:w="1925"/>
        <w:gridCol w:w="2062"/>
        <w:gridCol w:w="1658"/>
        <w:gridCol w:w="3925"/>
      </w:tblGrid>
      <w:tr w:rsidR="00A97587" w:rsidRPr="003F52C2" w:rsidTr="002C7D0F">
        <w:trPr>
          <w:trHeight w:val="20"/>
        </w:trPr>
        <w:tc>
          <w:tcPr>
            <w:tcW w:w="1978" w:type="dxa"/>
            <w:tcBorders>
              <w:top w:val="single" w:sz="4" w:space="0" w:color="auto"/>
              <w:left w:val="single" w:sz="4" w:space="0" w:color="auto"/>
              <w:bottom w:val="single" w:sz="4" w:space="0" w:color="auto"/>
              <w:right w:val="single" w:sz="4" w:space="0" w:color="auto"/>
            </w:tcBorders>
            <w:vAlign w:val="center"/>
          </w:tcPr>
          <w:p w:rsidR="00A97587" w:rsidRPr="00192261" w:rsidRDefault="00A97587" w:rsidP="002C7D0F">
            <w:pPr>
              <w:pStyle w:val="a0"/>
              <w:jc w:val="center"/>
              <w:rPr>
                <w:b/>
              </w:rPr>
            </w:pPr>
            <w:r w:rsidRPr="00192261">
              <w:rPr>
                <w:b/>
              </w:rPr>
              <w:t>Результаты анализа генов rpoB</w:t>
            </w:r>
          </w:p>
        </w:tc>
        <w:tc>
          <w:tcPr>
            <w:tcW w:w="1915" w:type="dxa"/>
            <w:tcBorders>
              <w:top w:val="single" w:sz="4" w:space="0" w:color="auto"/>
              <w:left w:val="single" w:sz="4" w:space="0" w:color="auto"/>
              <w:bottom w:val="single" w:sz="4" w:space="0" w:color="auto"/>
              <w:right w:val="single" w:sz="4" w:space="0" w:color="auto"/>
            </w:tcBorders>
            <w:vAlign w:val="center"/>
          </w:tcPr>
          <w:p w:rsidR="00A97587" w:rsidRPr="00192261" w:rsidRDefault="00A97587" w:rsidP="002C7D0F">
            <w:pPr>
              <w:pStyle w:val="a0"/>
              <w:jc w:val="center"/>
              <w:rPr>
                <w:b/>
              </w:rPr>
            </w:pPr>
            <w:r w:rsidRPr="00192261">
              <w:rPr>
                <w:b/>
              </w:rPr>
              <w:t>Чувствительность МБТ к R</w:t>
            </w:r>
          </w:p>
        </w:tc>
        <w:tc>
          <w:tcPr>
            <w:tcW w:w="1605" w:type="dxa"/>
            <w:tcBorders>
              <w:top w:val="single" w:sz="4" w:space="0" w:color="auto"/>
              <w:left w:val="single" w:sz="4" w:space="0" w:color="auto"/>
              <w:bottom w:val="single" w:sz="4" w:space="0" w:color="auto"/>
              <w:right w:val="single" w:sz="4" w:space="0" w:color="auto"/>
            </w:tcBorders>
            <w:vAlign w:val="center"/>
          </w:tcPr>
          <w:p w:rsidR="00A97587" w:rsidRPr="00192261" w:rsidDel="00776BAC" w:rsidRDefault="00A97587" w:rsidP="002C7D0F">
            <w:pPr>
              <w:pStyle w:val="a0"/>
              <w:jc w:val="center"/>
              <w:rPr>
                <w:b/>
              </w:rPr>
            </w:pPr>
            <w:r w:rsidRPr="00192261">
              <w:rPr>
                <w:b/>
              </w:rPr>
              <w:t>Режим химиотерапии</w:t>
            </w:r>
          </w:p>
        </w:tc>
        <w:tc>
          <w:tcPr>
            <w:tcW w:w="4072" w:type="dxa"/>
            <w:tcBorders>
              <w:top w:val="single" w:sz="4" w:space="0" w:color="auto"/>
              <w:left w:val="single" w:sz="4" w:space="0" w:color="auto"/>
              <w:bottom w:val="single" w:sz="4" w:space="0" w:color="auto"/>
              <w:right w:val="single" w:sz="4" w:space="0" w:color="auto"/>
            </w:tcBorders>
            <w:vAlign w:val="center"/>
          </w:tcPr>
          <w:p w:rsidR="00A97587" w:rsidRPr="00192261" w:rsidRDefault="00A97587" w:rsidP="002C7D0F">
            <w:pPr>
              <w:pStyle w:val="a0"/>
              <w:jc w:val="center"/>
              <w:rPr>
                <w:b/>
              </w:rPr>
            </w:pPr>
            <w:r w:rsidRPr="00192261">
              <w:rPr>
                <w:b/>
              </w:rPr>
              <w:t>Изменение/коррекция режима химиотерапии</w:t>
            </w:r>
          </w:p>
        </w:tc>
      </w:tr>
      <w:tr w:rsidR="00A97587" w:rsidRPr="003F52C2" w:rsidTr="002C7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78" w:type="dxa"/>
            <w:vAlign w:val="center"/>
          </w:tcPr>
          <w:p w:rsidR="00A97587" w:rsidRPr="0080512A" w:rsidRDefault="00A97587" w:rsidP="002C7D0F">
            <w:pPr>
              <w:pStyle w:val="a0"/>
              <w:rPr>
                <w:sz w:val="24"/>
              </w:rPr>
            </w:pPr>
            <w:r w:rsidRPr="0080512A">
              <w:rPr>
                <w:sz w:val="24"/>
              </w:rPr>
              <w:t>мутации в гене rpoB</w:t>
            </w:r>
          </w:p>
          <w:p w:rsidR="00A97587" w:rsidRPr="0080512A" w:rsidRDefault="00A97587" w:rsidP="002C7D0F">
            <w:pPr>
              <w:pStyle w:val="a0"/>
              <w:rPr>
                <w:sz w:val="24"/>
              </w:rPr>
            </w:pPr>
            <w:r w:rsidRPr="0080512A">
              <w:rPr>
                <w:sz w:val="24"/>
              </w:rPr>
              <w:t>не выявлены</w:t>
            </w:r>
          </w:p>
        </w:tc>
        <w:tc>
          <w:tcPr>
            <w:tcW w:w="1915" w:type="dxa"/>
            <w:vAlign w:val="center"/>
          </w:tcPr>
          <w:p w:rsidR="00A97587" w:rsidRPr="0080512A" w:rsidRDefault="00A97587" w:rsidP="002C7D0F">
            <w:pPr>
              <w:pStyle w:val="a0"/>
              <w:rPr>
                <w:sz w:val="24"/>
              </w:rPr>
            </w:pPr>
            <w:r w:rsidRPr="0080512A">
              <w:rPr>
                <w:sz w:val="24"/>
              </w:rPr>
              <w:t>чувствительны  к R</w:t>
            </w:r>
          </w:p>
        </w:tc>
        <w:tc>
          <w:tcPr>
            <w:tcW w:w="1605" w:type="dxa"/>
            <w:vAlign w:val="center"/>
          </w:tcPr>
          <w:p w:rsidR="00A97587" w:rsidRPr="0080512A" w:rsidRDefault="00A97587" w:rsidP="002C7D0F">
            <w:pPr>
              <w:pStyle w:val="a0"/>
              <w:rPr>
                <w:sz w:val="24"/>
              </w:rPr>
            </w:pPr>
            <w:r w:rsidRPr="0080512A">
              <w:rPr>
                <w:sz w:val="24"/>
              </w:rPr>
              <w:t>I режим</w:t>
            </w:r>
          </w:p>
        </w:tc>
        <w:tc>
          <w:tcPr>
            <w:tcW w:w="4072" w:type="dxa"/>
            <w:vAlign w:val="center"/>
          </w:tcPr>
          <w:p w:rsidR="00A97587" w:rsidRPr="0080512A" w:rsidRDefault="00A97587" w:rsidP="002C7D0F">
            <w:pPr>
              <w:pStyle w:val="a0"/>
              <w:rPr>
                <w:sz w:val="24"/>
              </w:rPr>
            </w:pPr>
            <w:r w:rsidRPr="0080512A">
              <w:rPr>
                <w:sz w:val="24"/>
              </w:rPr>
              <w:t>При выявлении ЛУ МБТ культуральным или др. методом –назначается режим химиотерапии согласно данным ТЛЧ</w:t>
            </w:r>
          </w:p>
        </w:tc>
      </w:tr>
      <w:tr w:rsidR="00A97587" w:rsidRPr="003F52C2" w:rsidTr="002C7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78" w:type="dxa"/>
            <w:vAlign w:val="center"/>
          </w:tcPr>
          <w:p w:rsidR="00A97587" w:rsidRPr="0080512A" w:rsidRDefault="00A97587" w:rsidP="002C7D0F">
            <w:pPr>
              <w:pStyle w:val="a0"/>
              <w:rPr>
                <w:sz w:val="24"/>
              </w:rPr>
            </w:pPr>
            <w:r w:rsidRPr="0080512A">
              <w:rPr>
                <w:sz w:val="24"/>
              </w:rPr>
              <w:t xml:space="preserve">мутации в гене rpoB </w:t>
            </w:r>
          </w:p>
          <w:p w:rsidR="00A97587" w:rsidRPr="0080512A" w:rsidRDefault="00A97587" w:rsidP="002C7D0F">
            <w:pPr>
              <w:pStyle w:val="a0"/>
              <w:rPr>
                <w:sz w:val="24"/>
              </w:rPr>
            </w:pPr>
            <w:r w:rsidRPr="0080512A">
              <w:rPr>
                <w:sz w:val="24"/>
              </w:rPr>
              <w:t>выявлены</w:t>
            </w:r>
          </w:p>
        </w:tc>
        <w:tc>
          <w:tcPr>
            <w:tcW w:w="1915" w:type="dxa"/>
            <w:vAlign w:val="center"/>
          </w:tcPr>
          <w:p w:rsidR="00A97587" w:rsidRPr="0080512A" w:rsidRDefault="00A97587" w:rsidP="002C7D0F">
            <w:pPr>
              <w:pStyle w:val="a0"/>
              <w:rPr>
                <w:sz w:val="24"/>
              </w:rPr>
            </w:pPr>
            <w:r w:rsidRPr="0080512A">
              <w:rPr>
                <w:sz w:val="24"/>
              </w:rPr>
              <w:t>устойчивы к R</w:t>
            </w:r>
          </w:p>
        </w:tc>
        <w:tc>
          <w:tcPr>
            <w:tcW w:w="1605" w:type="dxa"/>
            <w:vAlign w:val="center"/>
          </w:tcPr>
          <w:p w:rsidR="00A97587" w:rsidRPr="0080512A" w:rsidRDefault="00A97587" w:rsidP="002C7D0F">
            <w:pPr>
              <w:pStyle w:val="a0"/>
              <w:rPr>
                <w:sz w:val="24"/>
              </w:rPr>
            </w:pPr>
            <w:r w:rsidRPr="0080512A">
              <w:rPr>
                <w:sz w:val="24"/>
              </w:rPr>
              <w:t>III режим</w:t>
            </w:r>
          </w:p>
        </w:tc>
        <w:tc>
          <w:tcPr>
            <w:tcW w:w="4072" w:type="dxa"/>
            <w:vAlign w:val="center"/>
          </w:tcPr>
          <w:p w:rsidR="00A97587" w:rsidRPr="0080512A" w:rsidRDefault="00A97587" w:rsidP="002C7D0F">
            <w:pPr>
              <w:pStyle w:val="a0"/>
              <w:rPr>
                <w:sz w:val="24"/>
              </w:rPr>
            </w:pPr>
            <w:r w:rsidRPr="0080512A">
              <w:rPr>
                <w:sz w:val="24"/>
              </w:rPr>
              <w:t xml:space="preserve">Коррекция режима III </w:t>
            </w:r>
          </w:p>
          <w:p w:rsidR="00A97587" w:rsidRPr="0080512A" w:rsidRDefault="00A97587" w:rsidP="002C7D0F">
            <w:pPr>
              <w:pStyle w:val="a0"/>
              <w:rPr>
                <w:sz w:val="24"/>
              </w:rPr>
            </w:pPr>
            <w:r w:rsidRPr="0080512A">
              <w:rPr>
                <w:sz w:val="24"/>
              </w:rPr>
              <w:t>по результатам данных ТЛЧ к др</w:t>
            </w:r>
            <w:r>
              <w:rPr>
                <w:sz w:val="24"/>
              </w:rPr>
              <w:t>угим</w:t>
            </w:r>
            <w:r w:rsidRPr="0080512A">
              <w:rPr>
                <w:sz w:val="24"/>
              </w:rPr>
              <w:t xml:space="preserve"> ПТП 1 и 2 ряда*</w:t>
            </w:r>
          </w:p>
        </w:tc>
      </w:tr>
    </w:tbl>
    <w:p w:rsidR="00A97587" w:rsidRPr="00192261" w:rsidRDefault="00A97587" w:rsidP="000B4017">
      <w:pPr>
        <w:pStyle w:val="BodyText"/>
        <w:rPr>
          <w:lang w:val="ru-RU"/>
        </w:rPr>
      </w:pPr>
      <w:r>
        <w:rPr>
          <w:lang w:val="ru-RU"/>
        </w:rPr>
        <w:t>П</w:t>
      </w:r>
      <w:r w:rsidRPr="00192261">
        <w:rPr>
          <w:lang w:val="ru-RU"/>
        </w:rPr>
        <w:t>ри несовпадении данных МГМ  и культурального метода (по  МГМ  определяется устойчивость к рифампицину, а культуральным методом чувствительность к нему) необходимо:</w:t>
      </w:r>
    </w:p>
    <w:p w:rsidR="00A97587" w:rsidRPr="00CF408C" w:rsidRDefault="00A97587" w:rsidP="000B4017">
      <w:pPr>
        <w:pStyle w:val="ListBullet"/>
        <w:numPr>
          <w:ilvl w:val="0"/>
          <w:numId w:val="17"/>
        </w:numPr>
      </w:pPr>
      <w:r>
        <w:t>-</w:t>
      </w:r>
      <w:r w:rsidRPr="003F52C2">
        <w:t xml:space="preserve"> </w:t>
      </w:r>
      <w:r w:rsidRPr="00CF408C">
        <w:t>при выявлении чувствительности МГМ и устойчивости микробиологическими методами – принять результат микробиологических методов как истинный,</w:t>
      </w:r>
    </w:p>
    <w:p w:rsidR="00A97587" w:rsidRPr="00CF408C" w:rsidRDefault="00A97587" w:rsidP="000B4017">
      <w:pPr>
        <w:pStyle w:val="ListBullet"/>
        <w:numPr>
          <w:ilvl w:val="0"/>
          <w:numId w:val="17"/>
        </w:numPr>
      </w:pPr>
      <w:r w:rsidRPr="00CF408C">
        <w:t xml:space="preserve">- при выявлении устойчивости МГМ и чувствительности к этому же препарату микробиологическим методом </w:t>
      </w:r>
    </w:p>
    <w:p w:rsidR="00A97587" w:rsidRPr="00CF408C" w:rsidRDefault="00A97587" w:rsidP="000B4017">
      <w:pPr>
        <w:pStyle w:val="ListBullet"/>
        <w:numPr>
          <w:ilvl w:val="0"/>
          <w:numId w:val="17"/>
        </w:numPr>
      </w:pPr>
      <w:r w:rsidRPr="00CF408C">
        <w:t>– повторить МГМ и микробиологическое исследовании. При двукратном выявлении мутаций, определяющих устойчивость к препарату</w:t>
      </w:r>
      <w:r>
        <w:t>,</w:t>
      </w:r>
      <w:r w:rsidRPr="00CF408C">
        <w:t xml:space="preserve"> МГМ назначается </w:t>
      </w:r>
      <w:r w:rsidRPr="00CF408C">
        <w:rPr>
          <w:lang w:val="en-US"/>
        </w:rPr>
        <w:t>III</w:t>
      </w:r>
      <w:r w:rsidRPr="00CF408C">
        <w:t xml:space="preserve"> режим химиотерапии, вне зависимости от результатов микробиологических исследований.</w:t>
      </w:r>
    </w:p>
    <w:p w:rsidR="00A97587" w:rsidRPr="00192261" w:rsidRDefault="00A97587" w:rsidP="000B4017">
      <w:pPr>
        <w:pStyle w:val="BodyText"/>
        <w:rPr>
          <w:lang w:val="ru-RU"/>
        </w:rPr>
      </w:pPr>
      <w:r w:rsidRPr="00192261">
        <w:rPr>
          <w:lang w:val="ru-RU"/>
        </w:rPr>
        <w:t xml:space="preserve">По результатам ТЛЧ молекулярно-генетическими методами или методами посева на жидких средах, опираясь на данные о чувствительности МБТ к препаратам первого ряда, канамицину, офлоксацину, проводится коррекция: </w:t>
      </w:r>
    </w:p>
    <w:p w:rsidR="00A97587" w:rsidRPr="003F52C2" w:rsidRDefault="00A97587" w:rsidP="000B4017">
      <w:pPr>
        <w:pStyle w:val="ListBullet"/>
        <w:numPr>
          <w:ilvl w:val="0"/>
          <w:numId w:val="17"/>
        </w:numPr>
      </w:pPr>
      <w:r w:rsidRPr="003F52C2">
        <w:t>замена капреомицина на аминогликозид при сохранении чувствительности МБТ к канамицину/амикацину;</w:t>
      </w:r>
    </w:p>
    <w:p w:rsidR="00A97587" w:rsidRPr="003F52C2" w:rsidRDefault="00A97587" w:rsidP="000B4017">
      <w:pPr>
        <w:pStyle w:val="ListBullet"/>
        <w:numPr>
          <w:ilvl w:val="0"/>
          <w:numId w:val="17"/>
        </w:numPr>
      </w:pPr>
      <w:r w:rsidRPr="003F52C2">
        <w:t>замена левофлоксацина на моксифлоксацин при выявлении устойчивости к офлоксацину или левофлоксацину;</w:t>
      </w:r>
    </w:p>
    <w:p w:rsidR="00A97587" w:rsidRPr="003F52C2" w:rsidRDefault="00A97587" w:rsidP="000B4017">
      <w:pPr>
        <w:pStyle w:val="ListBullet"/>
        <w:numPr>
          <w:ilvl w:val="0"/>
          <w:numId w:val="17"/>
        </w:numPr>
      </w:pPr>
      <w:r w:rsidRPr="003F52C2">
        <w:t xml:space="preserve">при сохранении чувствительности к этамбутолу, его вводят в схему и применяют на протяжении всего курса лечения; </w:t>
      </w:r>
    </w:p>
    <w:p w:rsidR="00A97587" w:rsidRPr="003F52C2" w:rsidRDefault="00A97587" w:rsidP="000B4017">
      <w:pPr>
        <w:pStyle w:val="ListBullet"/>
        <w:numPr>
          <w:ilvl w:val="0"/>
          <w:numId w:val="17"/>
        </w:numPr>
      </w:pPr>
      <w:r w:rsidRPr="003F52C2">
        <w:t xml:space="preserve">пиразинамид, применяют на протяжении всего курса лечения; </w:t>
      </w:r>
    </w:p>
    <w:p w:rsidR="00A97587" w:rsidRPr="003F52C2" w:rsidRDefault="00A97587" w:rsidP="000B4017">
      <w:pPr>
        <w:pStyle w:val="ListBullet"/>
        <w:numPr>
          <w:ilvl w:val="0"/>
          <w:numId w:val="17"/>
        </w:numPr>
      </w:pPr>
      <w:r w:rsidRPr="003F52C2">
        <w:t>циклосерин, аминосалициловая кислота  включаются  в режим химиотерапии в независимости от данных ТЛЧ</w:t>
      </w:r>
    </w:p>
    <w:p w:rsidR="00A97587" w:rsidRPr="003F52C2" w:rsidRDefault="00A97587" w:rsidP="000B4017">
      <w:pPr>
        <w:jc w:val="right"/>
        <w:rPr>
          <w:rFonts w:eastAsia="Times New Roman"/>
          <w:b/>
        </w:rPr>
      </w:pPr>
      <w:r w:rsidRPr="003F52C2">
        <w:rPr>
          <w:rFonts w:eastAsia="Times New Roman"/>
          <w:b/>
        </w:rPr>
        <w:t xml:space="preserve">Таблица </w:t>
      </w:r>
      <w:r>
        <w:rPr>
          <w:rFonts w:eastAsia="Times New Roman"/>
          <w:b/>
        </w:rPr>
        <w:t>8</w:t>
      </w:r>
    </w:p>
    <w:p w:rsidR="00A97587" w:rsidRPr="00192261" w:rsidRDefault="00A97587" w:rsidP="000B4017">
      <w:pPr>
        <w:pStyle w:val="Title"/>
        <w:spacing w:before="0" w:after="0"/>
        <w:outlineLvl w:val="9"/>
        <w:rPr>
          <w:rFonts w:ascii="Calibri" w:hAnsi="Calibri"/>
          <w:sz w:val="24"/>
          <w:szCs w:val="24"/>
        </w:rPr>
      </w:pPr>
      <w:bookmarkStart w:id="68" w:name="_Toc373847368"/>
      <w:r w:rsidRPr="00192261">
        <w:rPr>
          <w:rFonts w:ascii="Calibri" w:hAnsi="Calibri"/>
          <w:sz w:val="24"/>
          <w:szCs w:val="24"/>
        </w:rPr>
        <w:t>Суточные дозы противотуберкулезных препаратов для взрослых</w:t>
      </w:r>
      <w:bookmarkEnd w:id="68"/>
      <w:r w:rsidRPr="00192261">
        <w:rPr>
          <w:rFonts w:ascii="Calibri" w:hAnsi="Calibri"/>
          <w:sz w:val="24"/>
          <w:szCs w:val="24"/>
        </w:rPr>
        <w:t xml:space="preserve"> </w:t>
      </w:r>
    </w:p>
    <w:p w:rsidR="00A97587" w:rsidRPr="00192261" w:rsidRDefault="00A97587" w:rsidP="000B4017">
      <w:pPr>
        <w:pStyle w:val="Title"/>
        <w:spacing w:before="0" w:after="0"/>
        <w:rPr>
          <w:rFonts w:ascii="Calibri" w:hAnsi="Calibri" w:cs="Times New Roman"/>
          <w:b w:val="0"/>
          <w:sz w:val="24"/>
          <w:szCs w:val="24"/>
        </w:rPr>
      </w:pPr>
    </w:p>
    <w:tbl>
      <w:tblPr>
        <w:tblW w:w="5000" w:type="pct"/>
        <w:tblInd w:w="-5" w:type="dxa"/>
        <w:tblLayout w:type="fixed"/>
        <w:tblLook w:val="0000"/>
      </w:tblPr>
      <w:tblGrid>
        <w:gridCol w:w="2134"/>
        <w:gridCol w:w="2119"/>
        <w:gridCol w:w="1612"/>
        <w:gridCol w:w="1866"/>
        <w:gridCol w:w="1839"/>
      </w:tblGrid>
      <w:tr w:rsidR="00A97587" w:rsidRPr="004F7177" w:rsidTr="002C7D0F">
        <w:trPr>
          <w:trHeight w:val="284"/>
          <w:tblHeader/>
        </w:trPr>
        <w:tc>
          <w:tcPr>
            <w:tcW w:w="1115" w:type="pct"/>
            <w:vMerge w:val="restart"/>
            <w:tcBorders>
              <w:top w:val="single" w:sz="4" w:space="0" w:color="auto"/>
              <w:left w:val="single" w:sz="4" w:space="0" w:color="auto"/>
              <w:bottom w:val="single" w:sz="4" w:space="0" w:color="auto"/>
              <w:right w:val="single" w:sz="4" w:space="0" w:color="auto"/>
            </w:tcBorders>
            <w:vAlign w:val="center"/>
          </w:tcPr>
          <w:p w:rsidR="00A97587" w:rsidRPr="004F7177" w:rsidRDefault="00A97587" w:rsidP="002C7D0F">
            <w:pPr>
              <w:pStyle w:val="a0"/>
              <w:jc w:val="center"/>
            </w:pPr>
            <w:r w:rsidRPr="004F7177">
              <w:t>Препарат</w:t>
            </w:r>
          </w:p>
        </w:tc>
        <w:tc>
          <w:tcPr>
            <w:tcW w:w="3885" w:type="pct"/>
            <w:gridSpan w:val="4"/>
            <w:tcBorders>
              <w:top w:val="single" w:sz="4" w:space="0" w:color="000000"/>
              <w:left w:val="single" w:sz="4" w:space="0" w:color="auto"/>
              <w:bottom w:val="single" w:sz="4" w:space="0" w:color="auto"/>
              <w:right w:val="single" w:sz="4" w:space="0" w:color="000000"/>
            </w:tcBorders>
            <w:vAlign w:val="center"/>
          </w:tcPr>
          <w:p w:rsidR="00A97587" w:rsidRPr="004F7177" w:rsidRDefault="00A97587" w:rsidP="002C7D0F">
            <w:pPr>
              <w:pStyle w:val="a0"/>
              <w:jc w:val="center"/>
            </w:pPr>
            <w:r w:rsidRPr="004F7177">
              <w:t>Суточные дозы (при ежедневном приеме)</w:t>
            </w:r>
          </w:p>
        </w:tc>
      </w:tr>
      <w:tr w:rsidR="00A97587" w:rsidRPr="004F7177" w:rsidTr="00F5134B">
        <w:trPr>
          <w:trHeight w:val="940"/>
          <w:tblHeader/>
        </w:trPr>
        <w:tc>
          <w:tcPr>
            <w:tcW w:w="1115" w:type="pct"/>
            <w:vMerge/>
            <w:tcBorders>
              <w:left w:val="single" w:sz="4" w:space="0" w:color="auto"/>
              <w:bottom w:val="single" w:sz="4" w:space="0" w:color="auto"/>
              <w:right w:val="single" w:sz="4" w:space="0" w:color="auto"/>
            </w:tcBorders>
            <w:vAlign w:val="center"/>
          </w:tcPr>
          <w:p w:rsidR="00A97587" w:rsidRPr="004F7177" w:rsidRDefault="00A97587" w:rsidP="002C7D0F">
            <w:pPr>
              <w:pStyle w:val="a0"/>
              <w:jc w:val="center"/>
            </w:pPr>
          </w:p>
        </w:tc>
        <w:tc>
          <w:tcPr>
            <w:tcW w:w="1107" w:type="pct"/>
            <w:tcBorders>
              <w:top w:val="single" w:sz="4" w:space="0" w:color="auto"/>
              <w:left w:val="single" w:sz="4" w:space="0" w:color="auto"/>
              <w:bottom w:val="single" w:sz="4" w:space="0" w:color="auto"/>
              <w:right w:val="single" w:sz="4" w:space="0" w:color="auto"/>
            </w:tcBorders>
            <w:vAlign w:val="center"/>
          </w:tcPr>
          <w:p w:rsidR="00A97587" w:rsidRPr="004F7177" w:rsidRDefault="00A97587" w:rsidP="002C7D0F">
            <w:pPr>
              <w:pStyle w:val="a0"/>
              <w:jc w:val="center"/>
            </w:pPr>
            <w:r w:rsidRPr="004F7177">
              <w:t>до 33 кг</w:t>
            </w:r>
          </w:p>
        </w:tc>
        <w:tc>
          <w:tcPr>
            <w:tcW w:w="842" w:type="pct"/>
            <w:tcBorders>
              <w:top w:val="single" w:sz="4" w:space="0" w:color="auto"/>
              <w:left w:val="single" w:sz="4" w:space="0" w:color="auto"/>
              <w:bottom w:val="single" w:sz="4" w:space="0" w:color="auto"/>
              <w:right w:val="single" w:sz="4" w:space="0" w:color="auto"/>
            </w:tcBorders>
            <w:vAlign w:val="center"/>
          </w:tcPr>
          <w:p w:rsidR="00A97587" w:rsidRPr="004F7177" w:rsidRDefault="00A97587" w:rsidP="002C7D0F">
            <w:pPr>
              <w:pStyle w:val="a0"/>
              <w:jc w:val="center"/>
            </w:pPr>
            <w:r w:rsidRPr="004F7177">
              <w:t>33-50 кг</w:t>
            </w:r>
          </w:p>
        </w:tc>
        <w:tc>
          <w:tcPr>
            <w:tcW w:w="975" w:type="pct"/>
            <w:tcBorders>
              <w:top w:val="single" w:sz="4" w:space="0" w:color="auto"/>
              <w:left w:val="single" w:sz="4" w:space="0" w:color="auto"/>
              <w:bottom w:val="single" w:sz="4" w:space="0" w:color="auto"/>
              <w:right w:val="single" w:sz="4" w:space="0" w:color="auto"/>
            </w:tcBorders>
            <w:vAlign w:val="center"/>
          </w:tcPr>
          <w:p w:rsidR="00A97587" w:rsidRPr="004F7177" w:rsidRDefault="00A97587" w:rsidP="002C7D0F">
            <w:pPr>
              <w:pStyle w:val="a0"/>
              <w:jc w:val="center"/>
            </w:pPr>
            <w:r w:rsidRPr="004F7177">
              <w:t>51-70 кг</w:t>
            </w:r>
          </w:p>
        </w:tc>
        <w:tc>
          <w:tcPr>
            <w:tcW w:w="961" w:type="pct"/>
            <w:tcBorders>
              <w:top w:val="single" w:sz="4" w:space="0" w:color="auto"/>
              <w:left w:val="single" w:sz="4" w:space="0" w:color="auto"/>
              <w:bottom w:val="single" w:sz="4" w:space="0" w:color="auto"/>
              <w:right w:val="single" w:sz="4" w:space="0" w:color="auto"/>
            </w:tcBorders>
            <w:vAlign w:val="center"/>
          </w:tcPr>
          <w:p w:rsidR="00A97587" w:rsidRPr="004F7177" w:rsidRDefault="00A97587" w:rsidP="002C7D0F">
            <w:pPr>
              <w:pStyle w:val="a0"/>
              <w:jc w:val="center"/>
            </w:pPr>
            <w:r w:rsidRPr="004F7177">
              <w:t>более 70 кг (также максимальная доза)</w:t>
            </w:r>
          </w:p>
        </w:tc>
      </w:tr>
      <w:tr w:rsidR="00A97587" w:rsidRPr="004F7177" w:rsidTr="00F5134B">
        <w:tc>
          <w:tcPr>
            <w:tcW w:w="1115" w:type="pct"/>
            <w:tcBorders>
              <w:top w:val="single" w:sz="4" w:space="0" w:color="auto"/>
              <w:left w:val="single" w:sz="4" w:space="0" w:color="000000"/>
              <w:bottom w:val="single" w:sz="4" w:space="0" w:color="000000"/>
            </w:tcBorders>
          </w:tcPr>
          <w:p w:rsidR="00A97587" w:rsidRPr="004F7177" w:rsidRDefault="00A97587" w:rsidP="002C7D0F">
            <w:pPr>
              <w:pStyle w:val="a0"/>
            </w:pPr>
            <w:r w:rsidRPr="004F7177">
              <w:t xml:space="preserve">Изониазид </w:t>
            </w:r>
          </w:p>
        </w:tc>
        <w:tc>
          <w:tcPr>
            <w:tcW w:w="1107" w:type="pct"/>
            <w:tcBorders>
              <w:top w:val="single" w:sz="4" w:space="0" w:color="auto"/>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4-6 мг/кг</w:t>
            </w:r>
          </w:p>
        </w:tc>
        <w:tc>
          <w:tcPr>
            <w:tcW w:w="842" w:type="pct"/>
            <w:tcBorders>
              <w:top w:val="single" w:sz="4" w:space="0" w:color="auto"/>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200-300  мг</w:t>
            </w:r>
          </w:p>
        </w:tc>
        <w:tc>
          <w:tcPr>
            <w:tcW w:w="975" w:type="pct"/>
            <w:tcBorders>
              <w:top w:val="single" w:sz="4" w:space="0" w:color="auto"/>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300-600 мг</w:t>
            </w:r>
          </w:p>
        </w:tc>
        <w:tc>
          <w:tcPr>
            <w:tcW w:w="961" w:type="pct"/>
            <w:tcBorders>
              <w:top w:val="single" w:sz="4" w:space="0" w:color="auto"/>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600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Рифампицин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10-20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450-600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600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600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Рифабутин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5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200-300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300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300-450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 xml:space="preserve">Пиразинамид </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30-40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1000-1750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1750-2000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rPr>
                <w:lang w:val="en-US"/>
              </w:rPr>
            </w:pPr>
            <w:r w:rsidRPr="004F7177">
              <w:rPr>
                <w:lang w:val="en-US"/>
              </w:rPr>
              <w:t xml:space="preserve">2000-2500 </w:t>
            </w:r>
            <w:r w:rsidRPr="004F7177">
              <w:t>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 xml:space="preserve">Этамбутол </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15-25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800-1200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1200-1600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1600-2000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Стрептомицин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500-750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1000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1000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 xml:space="preserve">Канамицин </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500-750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1000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1000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Амикацин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500-750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1000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1000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 xml:space="preserve">Капреомицин </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500-750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1000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1000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Офлоксацин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800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800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800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Левофлоксацин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750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750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750-1000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Моксифлоксацин</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400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400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400-600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 xml:space="preserve">Протионамид, </w:t>
            </w:r>
          </w:p>
          <w:p w:rsidR="00A97587" w:rsidRPr="004F7177" w:rsidRDefault="00A97587" w:rsidP="002C7D0F">
            <w:pPr>
              <w:pStyle w:val="a0"/>
            </w:pPr>
            <w:r w:rsidRPr="004F7177">
              <w:t xml:space="preserve">этионамид </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500-мг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750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750-1000 мг</w:t>
            </w:r>
          </w:p>
        </w:tc>
      </w:tr>
      <w:tr w:rsidR="00A97587" w:rsidRPr="004F7177" w:rsidTr="00F5134B">
        <w:tc>
          <w:tcPr>
            <w:tcW w:w="1115" w:type="pct"/>
            <w:tcBorders>
              <w:left w:val="single" w:sz="4" w:space="0" w:color="000000"/>
              <w:bottom w:val="single" w:sz="4" w:space="0" w:color="000000"/>
            </w:tcBorders>
          </w:tcPr>
          <w:p w:rsidR="00A97587" w:rsidRPr="004F7177" w:rsidRDefault="00A97587" w:rsidP="002C7D0F">
            <w:pPr>
              <w:pStyle w:val="a0"/>
            </w:pPr>
            <w:r w:rsidRPr="004F7177">
              <w:t xml:space="preserve">Циклосерин  </w:t>
            </w:r>
          </w:p>
        </w:tc>
        <w:tc>
          <w:tcPr>
            <w:tcW w:w="1107" w:type="pct"/>
            <w:tcBorders>
              <w:left w:val="single" w:sz="4" w:space="0" w:color="000000"/>
              <w:bottom w:val="single" w:sz="4" w:space="0" w:color="000000"/>
              <w:right w:val="single" w:sz="4" w:space="0" w:color="auto"/>
            </w:tcBorders>
          </w:tcPr>
          <w:p w:rsidR="00A97587" w:rsidRPr="004F7177" w:rsidRDefault="00A97587" w:rsidP="002C7D0F">
            <w:pPr>
              <w:pStyle w:val="a0"/>
              <w:jc w:val="center"/>
            </w:pPr>
            <w:r w:rsidRPr="004F7177">
              <w:t>15-20 мг/кг</w:t>
            </w:r>
          </w:p>
        </w:tc>
        <w:tc>
          <w:tcPr>
            <w:tcW w:w="842"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500 мг</w:t>
            </w:r>
          </w:p>
        </w:tc>
        <w:tc>
          <w:tcPr>
            <w:tcW w:w="975" w:type="pct"/>
            <w:tcBorders>
              <w:left w:val="single" w:sz="4" w:space="0" w:color="auto"/>
              <w:bottom w:val="single" w:sz="4" w:space="0" w:color="000000"/>
              <w:right w:val="single" w:sz="4" w:space="0" w:color="auto"/>
            </w:tcBorders>
          </w:tcPr>
          <w:p w:rsidR="00A97587" w:rsidRPr="004F7177" w:rsidRDefault="00A97587" w:rsidP="002C7D0F">
            <w:pPr>
              <w:pStyle w:val="a0"/>
              <w:jc w:val="center"/>
            </w:pPr>
            <w:r w:rsidRPr="004F7177">
              <w:t>750 мг</w:t>
            </w:r>
          </w:p>
        </w:tc>
        <w:tc>
          <w:tcPr>
            <w:tcW w:w="961" w:type="pct"/>
            <w:tcBorders>
              <w:left w:val="single" w:sz="4" w:space="0" w:color="auto"/>
              <w:bottom w:val="single" w:sz="4" w:space="0" w:color="000000"/>
              <w:right w:val="single" w:sz="4" w:space="0" w:color="000000"/>
            </w:tcBorders>
          </w:tcPr>
          <w:p w:rsidR="00A97587" w:rsidRPr="004F7177" w:rsidRDefault="00A97587" w:rsidP="002C7D0F">
            <w:pPr>
              <w:pStyle w:val="a0"/>
              <w:jc w:val="center"/>
            </w:pPr>
            <w:r w:rsidRPr="004F7177">
              <w:t>750-1000 мг</w:t>
            </w:r>
          </w:p>
        </w:tc>
      </w:tr>
      <w:tr w:rsidR="00A97587" w:rsidRPr="004F7177" w:rsidTr="00F5134B">
        <w:tc>
          <w:tcPr>
            <w:tcW w:w="1115" w:type="pct"/>
            <w:tcBorders>
              <w:left w:val="single" w:sz="4" w:space="0" w:color="000000"/>
              <w:bottom w:val="single" w:sz="4" w:space="0" w:color="auto"/>
            </w:tcBorders>
          </w:tcPr>
          <w:p w:rsidR="00A97587" w:rsidRPr="004F7177" w:rsidRDefault="00A97587" w:rsidP="002C7D0F">
            <w:pPr>
              <w:pStyle w:val="a0"/>
            </w:pPr>
            <w:r w:rsidRPr="004F7177">
              <w:t>Теризидон</w:t>
            </w:r>
          </w:p>
        </w:tc>
        <w:tc>
          <w:tcPr>
            <w:tcW w:w="1107" w:type="pct"/>
            <w:tcBorders>
              <w:left w:val="single" w:sz="4" w:space="0" w:color="000000"/>
              <w:bottom w:val="single" w:sz="4" w:space="0" w:color="auto"/>
              <w:right w:val="single" w:sz="4" w:space="0" w:color="auto"/>
            </w:tcBorders>
          </w:tcPr>
          <w:p w:rsidR="00A97587" w:rsidRPr="004F7177" w:rsidRDefault="00A97587" w:rsidP="002C7D0F">
            <w:pPr>
              <w:pStyle w:val="a0"/>
              <w:jc w:val="center"/>
            </w:pPr>
          </w:p>
        </w:tc>
        <w:tc>
          <w:tcPr>
            <w:tcW w:w="842" w:type="pct"/>
            <w:tcBorders>
              <w:left w:val="single" w:sz="4" w:space="0" w:color="auto"/>
              <w:bottom w:val="single" w:sz="4" w:space="0" w:color="auto"/>
              <w:right w:val="single" w:sz="4" w:space="0" w:color="auto"/>
            </w:tcBorders>
          </w:tcPr>
          <w:p w:rsidR="00A97587" w:rsidRPr="004F7177" w:rsidRDefault="00A97587" w:rsidP="002C7D0F">
            <w:pPr>
              <w:pStyle w:val="a0"/>
              <w:jc w:val="center"/>
            </w:pPr>
            <w:r w:rsidRPr="004F7177">
              <w:t>600 мг</w:t>
            </w:r>
          </w:p>
        </w:tc>
        <w:tc>
          <w:tcPr>
            <w:tcW w:w="975" w:type="pct"/>
            <w:tcBorders>
              <w:left w:val="single" w:sz="4" w:space="0" w:color="auto"/>
              <w:bottom w:val="single" w:sz="4" w:space="0" w:color="auto"/>
              <w:right w:val="single" w:sz="4" w:space="0" w:color="auto"/>
            </w:tcBorders>
          </w:tcPr>
          <w:p w:rsidR="00A97587" w:rsidRPr="004F7177" w:rsidRDefault="00A97587" w:rsidP="002C7D0F">
            <w:pPr>
              <w:pStyle w:val="a0"/>
              <w:jc w:val="center"/>
            </w:pPr>
            <w:r w:rsidRPr="004F7177">
              <w:t>600 мг</w:t>
            </w:r>
          </w:p>
        </w:tc>
        <w:tc>
          <w:tcPr>
            <w:tcW w:w="961" w:type="pct"/>
            <w:tcBorders>
              <w:left w:val="single" w:sz="4" w:space="0" w:color="auto"/>
              <w:bottom w:val="single" w:sz="4" w:space="0" w:color="auto"/>
              <w:right w:val="single" w:sz="4" w:space="0" w:color="000000"/>
            </w:tcBorders>
          </w:tcPr>
          <w:p w:rsidR="00A97587" w:rsidRPr="004F7177" w:rsidRDefault="00A97587" w:rsidP="002C7D0F">
            <w:pPr>
              <w:pStyle w:val="a0"/>
              <w:jc w:val="center"/>
            </w:pPr>
            <w:r w:rsidRPr="004F7177">
              <w:t>900 мг</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ПАСК</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150 мг/кг</w:t>
            </w: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8 г</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8-10 г</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12 г</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Тиоуреидоимино</w:t>
            </w:r>
            <w:r>
              <w:t>-</w:t>
            </w:r>
            <w:r w:rsidRPr="004F7177">
              <w:t>метилпиридиния перхлорат (Перхлозон)</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9,5-12,5 мг/кг.</w:t>
            </w:r>
          </w:p>
          <w:p w:rsidR="00A97587" w:rsidRPr="004F7177" w:rsidRDefault="00A97587" w:rsidP="002C7D0F">
            <w:pPr>
              <w:pStyle w:val="a0"/>
              <w:jc w:val="center"/>
            </w:pPr>
            <w:r w:rsidRPr="004F7177">
              <w:t>400-600 мг</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800-1000 мг</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1000-1200 мг</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Тиоацетазон</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0,0005-0,001 мг/кг</w:t>
            </w: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 мг</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100-150 мг</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150 мг</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480044">
            <w:pPr>
              <w:pStyle w:val="a0"/>
            </w:pPr>
            <w:r w:rsidRPr="004F7177">
              <w:t>Бедаквилин</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p>
        </w:tc>
        <w:tc>
          <w:tcPr>
            <w:tcW w:w="2778" w:type="pct"/>
            <w:gridSpan w:val="3"/>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 xml:space="preserve">400 мг 1 раз в день в течение 2 недель, </w:t>
            </w:r>
            <w:r>
              <w:br/>
            </w:r>
            <w:r w:rsidRPr="004F7177">
              <w:t>затем 200 мг 3 раза в неделю в течение 22 недель</w:t>
            </w:r>
          </w:p>
        </w:tc>
      </w:tr>
      <w:tr w:rsidR="00A97587" w:rsidRPr="004F7177" w:rsidTr="002C7D0F">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Линезолид</w:t>
            </w:r>
          </w:p>
        </w:tc>
        <w:tc>
          <w:tcPr>
            <w:tcW w:w="3885" w:type="pct"/>
            <w:gridSpan w:val="4"/>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600 мг 2 раза в день, после 4-6 недель – 600 мг в день</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Кларитромицин</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15 мг/кг</w:t>
            </w: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1000 мг</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1000 мг</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1000 мг</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Имепенем / циластатин</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500 мг каждые 6 часов</w:t>
            </w: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500 мг каждые 6 часов</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500-1000 мг каждые 6 часов</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1000 мг каждые 6 часов</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Амоксициллина клавуланат</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45 мг/кг (расчет на амоксициллин)</w:t>
            </w: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2000 мг</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2000 мг</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2000 мг</w:t>
            </w:r>
          </w:p>
        </w:tc>
      </w:tr>
      <w:tr w:rsidR="00A97587" w:rsidRPr="004F7177" w:rsidTr="00F5134B">
        <w:tc>
          <w:tcPr>
            <w:tcW w:w="111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pPr>
            <w:r w:rsidRPr="004F7177">
              <w:t>Клофазимин</w:t>
            </w:r>
          </w:p>
        </w:tc>
        <w:tc>
          <w:tcPr>
            <w:tcW w:w="1107"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3-5 мг/кг</w:t>
            </w:r>
          </w:p>
        </w:tc>
        <w:tc>
          <w:tcPr>
            <w:tcW w:w="842"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200-300 мг</w:t>
            </w:r>
          </w:p>
        </w:tc>
        <w:tc>
          <w:tcPr>
            <w:tcW w:w="975"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200-300 мг</w:t>
            </w:r>
          </w:p>
        </w:tc>
        <w:tc>
          <w:tcPr>
            <w:tcW w:w="961" w:type="pct"/>
            <w:tcBorders>
              <w:top w:val="single" w:sz="4" w:space="0" w:color="auto"/>
              <w:left w:val="single" w:sz="4" w:space="0" w:color="auto"/>
              <w:bottom w:val="single" w:sz="4" w:space="0" w:color="auto"/>
              <w:right w:val="single" w:sz="4" w:space="0" w:color="auto"/>
            </w:tcBorders>
          </w:tcPr>
          <w:p w:rsidR="00A97587" w:rsidRPr="004F7177" w:rsidRDefault="00A97587" w:rsidP="002C7D0F">
            <w:pPr>
              <w:pStyle w:val="a0"/>
              <w:jc w:val="center"/>
            </w:pPr>
            <w:r w:rsidRPr="004F7177">
              <w:t>300 мг</w:t>
            </w:r>
          </w:p>
        </w:tc>
      </w:tr>
    </w:tbl>
    <w:p w:rsidR="00A97587" w:rsidRPr="00192261" w:rsidRDefault="00A97587" w:rsidP="000B4017">
      <w:pPr>
        <w:pStyle w:val="BodyText"/>
        <w:rPr>
          <w:lang w:val="ru-RU"/>
        </w:rPr>
      </w:pPr>
      <w:r w:rsidRPr="00192261">
        <w:rPr>
          <w:lang w:val="ru-RU"/>
        </w:rPr>
        <w:t xml:space="preserve">Суточные дозы изониазида, рифампицина, рифабутина, пиразинамида, этамбутола, канамицина, амикацина, капреомицина, левофлоксацина, моксифлоксацина, тиоуреидоиминометилпиридиния перхлората (перхлозон), бедактивилина – назначаются в один прием, что создает высокий пик концентрации препаратов в сыворотке крови. </w:t>
      </w:r>
    </w:p>
    <w:p w:rsidR="00A97587" w:rsidRDefault="00A97587" w:rsidP="000B4017">
      <w:pPr>
        <w:pStyle w:val="BodyText"/>
        <w:rPr>
          <w:lang w:val="ru-RU"/>
        </w:rPr>
      </w:pPr>
      <w:r w:rsidRPr="00192261">
        <w:rPr>
          <w:lang w:val="ru-RU"/>
        </w:rPr>
        <w:t xml:space="preserve">Суточные дозы препаратов протионамида, этионамида, циклосерина, теризидона, ПАСК и прочие лекарственные средства могут делиться на два-три приема в зависимости от индивидуальной переносимости препаратов. </w:t>
      </w:r>
    </w:p>
    <w:p w:rsidR="00A97587" w:rsidRPr="00192261" w:rsidRDefault="00A97587" w:rsidP="000B4017">
      <w:pPr>
        <w:pStyle w:val="BodyText"/>
        <w:rPr>
          <w:lang w:val="ru-RU"/>
        </w:rPr>
      </w:pPr>
    </w:p>
    <w:p w:rsidR="00A97587" w:rsidRPr="001B6517" w:rsidRDefault="00A97587" w:rsidP="00136C1B">
      <w:pPr>
        <w:pStyle w:val="Heading2"/>
        <w:numPr>
          <w:ilvl w:val="1"/>
          <w:numId w:val="16"/>
        </w:numPr>
        <w:ind w:left="0" w:firstLine="0"/>
      </w:pPr>
      <w:bookmarkStart w:id="69" w:name="_Toc373847369"/>
      <w:bookmarkStart w:id="70" w:name="_Toc374016065"/>
      <w:r w:rsidRPr="001B6517">
        <w:t>Показания для направления больных туберкулезом в вышестоящую медицинскую организацию</w:t>
      </w:r>
      <w:bookmarkEnd w:id="69"/>
      <w:bookmarkEnd w:id="70"/>
      <w:r w:rsidRPr="001B6517">
        <w:t xml:space="preserve"> </w:t>
      </w:r>
    </w:p>
    <w:p w:rsidR="00A97587" w:rsidRPr="00192261" w:rsidRDefault="00A97587" w:rsidP="000B4017">
      <w:pPr>
        <w:pStyle w:val="BodyText"/>
        <w:rPr>
          <w:lang w:val="ru-RU"/>
        </w:rPr>
      </w:pPr>
      <w:r w:rsidRPr="00192261">
        <w:rPr>
          <w:lang w:val="ru-RU"/>
        </w:rPr>
        <w:t xml:space="preserve">В областные/краевые/республиканские </w:t>
      </w:r>
      <w:r w:rsidRPr="00192261">
        <w:rPr>
          <w:bCs/>
          <w:lang w:val="ru-RU"/>
        </w:rPr>
        <w:t xml:space="preserve">медицинские противотуберкулезные организации </w:t>
      </w:r>
      <w:r w:rsidRPr="00192261">
        <w:rPr>
          <w:lang w:val="ru-RU"/>
        </w:rPr>
        <w:t xml:space="preserve">с возможностью проведения ускоренных методов определения лекарственной чувствительности должны быть направлены: </w:t>
      </w:r>
    </w:p>
    <w:p w:rsidR="00A97587" w:rsidRPr="001B6517" w:rsidRDefault="00A97587" w:rsidP="000B4017">
      <w:pPr>
        <w:pStyle w:val="ListBullet"/>
        <w:numPr>
          <w:ilvl w:val="0"/>
          <w:numId w:val="17"/>
        </w:numPr>
      </w:pPr>
      <w:r w:rsidRPr="001B6517">
        <w:t>больные с остропрогрессирующими формами туберкулеза;</w:t>
      </w:r>
    </w:p>
    <w:p w:rsidR="00A97587" w:rsidRPr="001B6517" w:rsidRDefault="00A97587" w:rsidP="000B4017">
      <w:pPr>
        <w:pStyle w:val="ListBullet"/>
        <w:numPr>
          <w:ilvl w:val="0"/>
          <w:numId w:val="17"/>
        </w:numPr>
      </w:pPr>
      <w:r w:rsidRPr="001B6517">
        <w:t>больные с высоким риском МЛУ/ШЛУ ТБ и сопутствующими заболеваниями;</w:t>
      </w:r>
    </w:p>
    <w:p w:rsidR="00A97587" w:rsidRPr="001B6517" w:rsidRDefault="00A97587" w:rsidP="000B4017">
      <w:pPr>
        <w:pStyle w:val="ListBullet"/>
        <w:numPr>
          <w:ilvl w:val="0"/>
          <w:numId w:val="17"/>
        </w:numPr>
      </w:pPr>
      <w:r w:rsidRPr="001B6517">
        <w:t>больные с тотальной лекарственной устойчивостью или при сохранении чувствительности к одному или двум резервным противотуберкулезным препаратам;</w:t>
      </w:r>
    </w:p>
    <w:p w:rsidR="00A97587" w:rsidRPr="001B6517" w:rsidRDefault="00A97587" w:rsidP="000B4017">
      <w:pPr>
        <w:pStyle w:val="ListBullet"/>
        <w:numPr>
          <w:ilvl w:val="0"/>
          <w:numId w:val="17"/>
        </w:numPr>
      </w:pPr>
      <w:r w:rsidRPr="001B6517">
        <w:t xml:space="preserve">больные с сохраняющимся бактериовыделением по методу микроскопии мокроты после 3-х месяцев интенсивной фазы химиотерапии по </w:t>
      </w:r>
      <w:r w:rsidRPr="001B6517">
        <w:rPr>
          <w:bCs/>
        </w:rPr>
        <w:t>I</w:t>
      </w:r>
      <w:r w:rsidRPr="001B6517">
        <w:t xml:space="preserve"> режиму, если к этому времени отсутствуют данные о наличии лекарственной устойчивости возбудителя;</w:t>
      </w:r>
    </w:p>
    <w:p w:rsidR="00A97587" w:rsidRPr="001B6517" w:rsidRDefault="00A97587" w:rsidP="000B4017">
      <w:pPr>
        <w:pStyle w:val="ListBullet"/>
        <w:numPr>
          <w:ilvl w:val="0"/>
          <w:numId w:val="17"/>
        </w:numPr>
      </w:pPr>
      <w:r w:rsidRPr="001B6517">
        <w:t xml:space="preserve">больные с отрицательной клинико-рентгенологической динамикой, но с негативацией мазка мокроты, после 3-х месяцев интенсивной фазы химиотерапии по </w:t>
      </w:r>
      <w:r w:rsidRPr="001B6517">
        <w:rPr>
          <w:bCs/>
        </w:rPr>
        <w:t>I</w:t>
      </w:r>
      <w:r w:rsidRPr="001B6517">
        <w:t xml:space="preserve"> режиму. </w:t>
      </w:r>
    </w:p>
    <w:p w:rsidR="00A97587" w:rsidRDefault="00A97587" w:rsidP="000B4017">
      <w:pPr>
        <w:pStyle w:val="BodyText"/>
        <w:rPr>
          <w:lang w:val="ru-RU"/>
        </w:rPr>
      </w:pPr>
      <w:r w:rsidRPr="00192261">
        <w:rPr>
          <w:lang w:val="ru-RU"/>
        </w:rPr>
        <w:t xml:space="preserve">В вышестоящих медицинских организациях лечение таких больных проводят в соответствии с результатами ускоренных методов определения ЛУ МБТ (предпочтительнее молекулярно-генетических). В ожидании результатов ТЛЧ МБТ лечение проводят в соответствии с показаниями по </w:t>
      </w:r>
      <w:r w:rsidRPr="001B6517">
        <w:t>I</w:t>
      </w:r>
      <w:r w:rsidRPr="00192261">
        <w:rPr>
          <w:lang w:val="ru-RU"/>
        </w:rPr>
        <w:t xml:space="preserve"> или </w:t>
      </w:r>
      <w:r w:rsidRPr="001B6517">
        <w:t>III</w:t>
      </w:r>
      <w:r w:rsidRPr="00192261">
        <w:rPr>
          <w:lang w:val="ru-RU"/>
        </w:rPr>
        <w:t xml:space="preserve"> режиму. При невозможности транспортировки больного, необходимо направить патологический материал в бактериологическую лабораторию вышестоящей медицинской организации для проведения ТЛЧ. Коррекция химиотерапии может быть проведена по решению ЦВК медицинской организации, в котором находится больной, но после получения результата ТЛЧ и рекомендаций по продолжению химиотерапии из вышестоящей медицинской организации.</w:t>
      </w:r>
    </w:p>
    <w:p w:rsidR="00A97587" w:rsidRPr="00192261" w:rsidRDefault="00A97587" w:rsidP="000B4017">
      <w:pPr>
        <w:pStyle w:val="BodyText"/>
        <w:rPr>
          <w:b/>
          <w:lang w:val="ru-RU"/>
        </w:rPr>
      </w:pPr>
    </w:p>
    <w:p w:rsidR="00A97587" w:rsidRPr="001B6517" w:rsidRDefault="00A97587" w:rsidP="00136C1B">
      <w:pPr>
        <w:pStyle w:val="Heading2"/>
        <w:numPr>
          <w:ilvl w:val="1"/>
          <w:numId w:val="16"/>
        </w:numPr>
        <w:ind w:left="0" w:firstLine="0"/>
      </w:pPr>
      <w:bookmarkStart w:id="71" w:name="_Toc373847370"/>
      <w:bookmarkStart w:id="72" w:name="_Toc374016066"/>
      <w:r w:rsidRPr="001B6517">
        <w:t>Патогенетическая терапия</w:t>
      </w:r>
      <w:bookmarkEnd w:id="71"/>
      <w:bookmarkEnd w:id="72"/>
      <w:r w:rsidRPr="001B6517">
        <w:t xml:space="preserve"> </w:t>
      </w:r>
    </w:p>
    <w:p w:rsidR="00A97587" w:rsidRPr="00192261" w:rsidRDefault="00A97587" w:rsidP="000B4017">
      <w:pPr>
        <w:pStyle w:val="BodyText"/>
        <w:rPr>
          <w:lang w:val="ru-RU"/>
        </w:rPr>
      </w:pPr>
      <w:r w:rsidRPr="00192261">
        <w:rPr>
          <w:lang w:val="ru-RU"/>
        </w:rPr>
        <w:t xml:space="preserve">Патогенетическая терапия больных туберкулезом является одним из компонентов комплексного лечения больных туберкулезом и направлена на повышение его эффективности за счет применения средств (методов), воздействующих не на возбудителя заболевания (микобактерию туберкулеза), а на состояние различных систем организма больного туберкулезом. </w:t>
      </w:r>
    </w:p>
    <w:p w:rsidR="00A97587" w:rsidRPr="00192261" w:rsidRDefault="00A97587" w:rsidP="000B4017">
      <w:pPr>
        <w:pStyle w:val="BodyText"/>
        <w:rPr>
          <w:lang w:val="ru-RU"/>
        </w:rPr>
      </w:pPr>
      <w:r w:rsidRPr="00192261">
        <w:rPr>
          <w:lang w:val="ru-RU"/>
        </w:rPr>
        <w:t xml:space="preserve">Обязательным условием назначения любого метода патогенетической терапии является применение его на фоне проводимой специфической химиотерапии. </w:t>
      </w:r>
    </w:p>
    <w:p w:rsidR="00A97587" w:rsidRPr="00192261" w:rsidRDefault="00A97587" w:rsidP="000B4017">
      <w:pPr>
        <w:pStyle w:val="BodyText"/>
        <w:rPr>
          <w:lang w:val="ru-RU"/>
        </w:rPr>
      </w:pPr>
      <w:r w:rsidRPr="00192261">
        <w:rPr>
          <w:lang w:val="ru-RU"/>
        </w:rPr>
        <w:t xml:space="preserve">Выбор средства (метода) патогенетической терапии должен быть обоснованным с учетом механизмов патогенеза туберкулеза, применением диагностических методов для оценки имеющихся соответствующих нарушений, возможного взаимодействия с другими лекарственными средствами (методами), прогноза клинической и фармако-экономической эффективности. </w:t>
      </w:r>
    </w:p>
    <w:p w:rsidR="00A97587" w:rsidRPr="00192261" w:rsidRDefault="00A97587" w:rsidP="000B4017">
      <w:pPr>
        <w:pStyle w:val="BodyText"/>
        <w:rPr>
          <w:b/>
          <w:bCs/>
          <w:lang w:val="ru-RU"/>
        </w:rPr>
      </w:pPr>
      <w:r w:rsidRPr="00192261">
        <w:rPr>
          <w:lang w:val="ru-RU"/>
        </w:rPr>
        <w:t>Для выявления и оценки имеющихся нарушений могут применяться клинические, лучевые, функциональные, иммунологические, лабораторные (в т.ч. биохимические), инструментальные, морфологические методы, опрос и тестирование.</w:t>
      </w:r>
    </w:p>
    <w:p w:rsidR="00A97587" w:rsidRPr="001B6517" w:rsidRDefault="00A97587" w:rsidP="000B4017">
      <w:pPr>
        <w:pStyle w:val="BodyText"/>
      </w:pPr>
      <w:r w:rsidRPr="001B6517">
        <w:t>Патогенетическая терапия направлена на:</w:t>
      </w:r>
    </w:p>
    <w:p w:rsidR="00A97587" w:rsidRPr="001B6517" w:rsidRDefault="00A97587" w:rsidP="000B4017">
      <w:pPr>
        <w:pStyle w:val="ListBullet"/>
        <w:numPr>
          <w:ilvl w:val="0"/>
          <w:numId w:val="17"/>
        </w:numPr>
      </w:pPr>
      <w:r w:rsidRPr="001B6517">
        <w:t>коррекцию нарушений, вызванных прогрессированием туберкулеза, в том числе:</w:t>
      </w:r>
      <w:r w:rsidRPr="001B6517">
        <w:rPr>
          <w:iCs/>
        </w:rPr>
        <w:t xml:space="preserve"> </w:t>
      </w:r>
    </w:p>
    <w:p w:rsidR="00A97587" w:rsidRPr="001B6517" w:rsidRDefault="00A97587" w:rsidP="000B4017">
      <w:pPr>
        <w:pStyle w:val="ListBullet"/>
        <w:numPr>
          <w:ilvl w:val="0"/>
          <w:numId w:val="17"/>
        </w:numPr>
        <w:tabs>
          <w:tab w:val="clear" w:pos="360"/>
          <w:tab w:val="num" w:pos="720"/>
        </w:tabs>
        <w:ind w:left="720"/>
      </w:pPr>
      <w:r w:rsidRPr="001B6517">
        <w:t xml:space="preserve">коррекцию синдрома системного воспалительного ответа; </w:t>
      </w:r>
    </w:p>
    <w:p w:rsidR="00A97587" w:rsidRPr="001B6517" w:rsidRDefault="00A97587" w:rsidP="000B4017">
      <w:pPr>
        <w:pStyle w:val="ListBullet"/>
        <w:numPr>
          <w:ilvl w:val="0"/>
          <w:numId w:val="17"/>
        </w:numPr>
        <w:tabs>
          <w:tab w:val="clear" w:pos="360"/>
          <w:tab w:val="num" w:pos="720"/>
        </w:tabs>
        <w:ind w:left="720"/>
      </w:pPr>
      <w:r w:rsidRPr="001B6517">
        <w:t>подавление выраженных воспалительных реакций;</w:t>
      </w:r>
    </w:p>
    <w:p w:rsidR="00A97587" w:rsidRPr="001B6517" w:rsidRDefault="00A97587" w:rsidP="000B4017">
      <w:pPr>
        <w:pStyle w:val="ListBullet"/>
        <w:numPr>
          <w:ilvl w:val="0"/>
          <w:numId w:val="17"/>
        </w:numPr>
        <w:tabs>
          <w:tab w:val="clear" w:pos="360"/>
          <w:tab w:val="num" w:pos="720"/>
        </w:tabs>
        <w:ind w:left="720"/>
      </w:pPr>
      <w:r w:rsidRPr="001B6517">
        <w:t xml:space="preserve">нормализацию вторичных иммунодефицитных состояний; </w:t>
      </w:r>
    </w:p>
    <w:p w:rsidR="00A97587" w:rsidRPr="001B6517" w:rsidRDefault="00A97587" w:rsidP="000B4017">
      <w:pPr>
        <w:pStyle w:val="ListBullet"/>
        <w:numPr>
          <w:ilvl w:val="0"/>
          <w:numId w:val="17"/>
        </w:numPr>
      </w:pPr>
      <w:r w:rsidRPr="001B6517">
        <w:t xml:space="preserve">восстановление структур и систем организма, которые были нарушены/утрачены в ходе патологического процесса, в т.ч.: </w:t>
      </w:r>
    </w:p>
    <w:p w:rsidR="00A97587" w:rsidRPr="001B6517" w:rsidRDefault="00A97587" w:rsidP="000B4017">
      <w:pPr>
        <w:pStyle w:val="ListBullet"/>
        <w:numPr>
          <w:ilvl w:val="0"/>
          <w:numId w:val="17"/>
        </w:numPr>
        <w:tabs>
          <w:tab w:val="clear" w:pos="360"/>
          <w:tab w:val="num" w:pos="720"/>
        </w:tabs>
        <w:ind w:left="720"/>
      </w:pPr>
      <w:r w:rsidRPr="001B6517">
        <w:t>нормализацию сурфактантной системы;</w:t>
      </w:r>
    </w:p>
    <w:p w:rsidR="00A97587" w:rsidRPr="001B6517" w:rsidRDefault="00A97587" w:rsidP="000B4017">
      <w:pPr>
        <w:pStyle w:val="ListBullet"/>
        <w:numPr>
          <w:ilvl w:val="0"/>
          <w:numId w:val="17"/>
        </w:numPr>
        <w:tabs>
          <w:tab w:val="clear" w:pos="360"/>
          <w:tab w:val="num" w:pos="720"/>
        </w:tabs>
        <w:ind w:left="720"/>
      </w:pPr>
      <w:r w:rsidRPr="001B6517">
        <w:t>усиление вялотекущих воспалительных реакций;</w:t>
      </w:r>
    </w:p>
    <w:p w:rsidR="00A97587" w:rsidRPr="001B6517" w:rsidRDefault="00A97587" w:rsidP="000B4017">
      <w:pPr>
        <w:pStyle w:val="ListBullet"/>
        <w:numPr>
          <w:ilvl w:val="0"/>
          <w:numId w:val="17"/>
        </w:numPr>
        <w:tabs>
          <w:tab w:val="clear" w:pos="360"/>
          <w:tab w:val="num" w:pos="720"/>
        </w:tabs>
        <w:ind w:left="720"/>
      </w:pPr>
      <w:r w:rsidRPr="001B6517">
        <w:t>нормализацию антиоксидантной системы;</w:t>
      </w:r>
    </w:p>
    <w:p w:rsidR="00A97587" w:rsidRPr="001B6517" w:rsidRDefault="00A97587" w:rsidP="000B4017">
      <w:pPr>
        <w:pStyle w:val="ListBullet"/>
        <w:numPr>
          <w:ilvl w:val="0"/>
          <w:numId w:val="17"/>
        </w:numPr>
        <w:tabs>
          <w:tab w:val="clear" w:pos="360"/>
          <w:tab w:val="num" w:pos="720"/>
        </w:tabs>
        <w:ind w:left="720"/>
      </w:pPr>
      <w:r w:rsidRPr="001B6517">
        <w:t xml:space="preserve">коррекцию адаптационных реакций организма. </w:t>
      </w:r>
    </w:p>
    <w:p w:rsidR="00A97587" w:rsidRPr="003F6786" w:rsidRDefault="00A97587" w:rsidP="000B4017">
      <w:pPr>
        <w:pStyle w:val="Heading3"/>
        <w:numPr>
          <w:ilvl w:val="2"/>
          <w:numId w:val="16"/>
        </w:numPr>
      </w:pPr>
      <w:bookmarkStart w:id="73" w:name="_Toc373846955"/>
      <w:bookmarkStart w:id="74" w:name="_Toc373847371"/>
      <w:bookmarkStart w:id="75" w:name="_Toc373847372"/>
      <w:bookmarkEnd w:id="73"/>
      <w:bookmarkEnd w:id="74"/>
      <w:r w:rsidRPr="003F6786">
        <w:t>Группы препаратов, рекомендуемые для патогенетического лечения и терапии сопровождения при химиотерапии туберкулеза</w:t>
      </w:r>
      <w:bookmarkEnd w:id="75"/>
    </w:p>
    <w:p w:rsidR="00A97587" w:rsidRPr="00192261" w:rsidRDefault="00A97587" w:rsidP="000B4017">
      <w:pPr>
        <w:pStyle w:val="BodyText"/>
        <w:rPr>
          <w:lang w:val="ru-RU"/>
        </w:rPr>
      </w:pPr>
      <w:r w:rsidRPr="00192261">
        <w:rPr>
          <w:lang w:val="ru-RU"/>
        </w:rPr>
        <w:t>Группы препаратов патогенетического воздействия, рекомендуемые к использованию при химиотерапии туберкулеза в соответствии с показаниями:</w:t>
      </w:r>
    </w:p>
    <w:p w:rsidR="00A97587" w:rsidRPr="001B6517" w:rsidRDefault="00A97587" w:rsidP="000B4017">
      <w:pPr>
        <w:pStyle w:val="ListBullet"/>
        <w:numPr>
          <w:ilvl w:val="0"/>
          <w:numId w:val="17"/>
        </w:numPr>
      </w:pPr>
      <w:r w:rsidRPr="001B6517">
        <w:t>Иммуномодуляторы, разрешенные к использованию при туберкулезе</w:t>
      </w:r>
    </w:p>
    <w:p w:rsidR="00A97587" w:rsidRPr="001B6517" w:rsidRDefault="00A97587" w:rsidP="000B4017">
      <w:pPr>
        <w:pStyle w:val="ListBullet"/>
        <w:numPr>
          <w:ilvl w:val="0"/>
          <w:numId w:val="17"/>
        </w:numPr>
      </w:pPr>
      <w:r w:rsidRPr="001B6517">
        <w:t>Дезинтоксикационные</w:t>
      </w:r>
    </w:p>
    <w:p w:rsidR="00A97587" w:rsidRPr="001B6517" w:rsidRDefault="00A97587" w:rsidP="000B4017">
      <w:pPr>
        <w:pStyle w:val="ListBullet"/>
        <w:numPr>
          <w:ilvl w:val="0"/>
          <w:numId w:val="17"/>
        </w:numPr>
      </w:pPr>
      <w:r w:rsidRPr="001B6517">
        <w:t xml:space="preserve">Противовоспалительные </w:t>
      </w:r>
    </w:p>
    <w:p w:rsidR="00A97587" w:rsidRPr="001B6517" w:rsidRDefault="00A97587" w:rsidP="000B4017">
      <w:pPr>
        <w:pStyle w:val="ListBullet"/>
        <w:numPr>
          <w:ilvl w:val="0"/>
          <w:numId w:val="17"/>
        </w:numPr>
      </w:pPr>
      <w:r w:rsidRPr="001B6517">
        <w:t xml:space="preserve">Десенсибилизирующие </w:t>
      </w:r>
    </w:p>
    <w:p w:rsidR="00A97587" w:rsidRPr="001B6517" w:rsidRDefault="00A97587" w:rsidP="000B4017">
      <w:pPr>
        <w:pStyle w:val="ListBullet"/>
        <w:numPr>
          <w:ilvl w:val="0"/>
          <w:numId w:val="17"/>
        </w:numPr>
      </w:pPr>
      <w:r w:rsidRPr="001B6517">
        <w:t xml:space="preserve">Антиоксидантные </w:t>
      </w:r>
    </w:p>
    <w:p w:rsidR="00A97587" w:rsidRPr="001B6517" w:rsidRDefault="00A97587" w:rsidP="000B4017">
      <w:pPr>
        <w:pStyle w:val="ListBullet"/>
        <w:numPr>
          <w:ilvl w:val="0"/>
          <w:numId w:val="17"/>
        </w:numPr>
      </w:pPr>
      <w:r w:rsidRPr="001B6517">
        <w:t xml:space="preserve">Антигипоксантные </w:t>
      </w:r>
    </w:p>
    <w:p w:rsidR="00A97587" w:rsidRPr="001B6517" w:rsidRDefault="00A97587" w:rsidP="000B4017">
      <w:pPr>
        <w:pStyle w:val="ListBullet"/>
        <w:numPr>
          <w:ilvl w:val="0"/>
          <w:numId w:val="17"/>
        </w:numPr>
      </w:pPr>
      <w:r w:rsidRPr="001B6517">
        <w:t>Витаминные препараты</w:t>
      </w:r>
    </w:p>
    <w:p w:rsidR="00A97587" w:rsidRPr="001B6517" w:rsidRDefault="00A97587" w:rsidP="000B4017">
      <w:pPr>
        <w:pStyle w:val="ListBullet"/>
        <w:numPr>
          <w:ilvl w:val="0"/>
          <w:numId w:val="17"/>
        </w:numPr>
      </w:pPr>
      <w:r w:rsidRPr="001B6517">
        <w:t>Сурфактантная терапия</w:t>
      </w:r>
    </w:p>
    <w:p w:rsidR="00A97587" w:rsidRPr="001B6517" w:rsidRDefault="00A97587" w:rsidP="000B4017">
      <w:pPr>
        <w:pStyle w:val="ListBullet"/>
        <w:numPr>
          <w:ilvl w:val="0"/>
          <w:numId w:val="17"/>
        </w:numPr>
      </w:pPr>
      <w:r w:rsidRPr="001B6517">
        <w:t>Активаторы вяло текущих процессов</w:t>
      </w:r>
    </w:p>
    <w:p w:rsidR="00A97587" w:rsidRPr="00192261" w:rsidRDefault="00A97587" w:rsidP="000B4017">
      <w:pPr>
        <w:pStyle w:val="BodyText"/>
        <w:rPr>
          <w:lang w:val="ru-RU"/>
        </w:rPr>
      </w:pPr>
      <w:r w:rsidRPr="00192261">
        <w:rPr>
          <w:lang w:val="ru-RU"/>
        </w:rPr>
        <w:t>С целью предотвращения и купирования побочных действий, возникающих при химиотерапии туберкулеза, по показаниям применяются следующие группы препаратов:</w:t>
      </w:r>
    </w:p>
    <w:p w:rsidR="00A97587" w:rsidRPr="001B6517" w:rsidRDefault="00A97587" w:rsidP="000B4017">
      <w:pPr>
        <w:pStyle w:val="ListBullet"/>
        <w:numPr>
          <w:ilvl w:val="0"/>
          <w:numId w:val="17"/>
        </w:numPr>
      </w:pPr>
      <w:r w:rsidRPr="001B6517">
        <w:t xml:space="preserve">Гепатопротекторные </w:t>
      </w:r>
    </w:p>
    <w:p w:rsidR="00A97587" w:rsidRPr="001B6517" w:rsidRDefault="00A97587" w:rsidP="000B4017">
      <w:pPr>
        <w:pStyle w:val="ListBullet"/>
        <w:numPr>
          <w:ilvl w:val="0"/>
          <w:numId w:val="17"/>
        </w:numPr>
      </w:pPr>
      <w:r w:rsidRPr="001B6517">
        <w:t>Витамины группы В</w:t>
      </w:r>
    </w:p>
    <w:p w:rsidR="00A97587" w:rsidRPr="001B6517" w:rsidRDefault="00A97587" w:rsidP="000B4017">
      <w:pPr>
        <w:pStyle w:val="ListBullet"/>
        <w:numPr>
          <w:ilvl w:val="0"/>
          <w:numId w:val="17"/>
        </w:numPr>
      </w:pPr>
      <w:r w:rsidRPr="001B6517">
        <w:t>Препараты калия</w:t>
      </w:r>
    </w:p>
    <w:p w:rsidR="00A97587" w:rsidRPr="001B6517" w:rsidRDefault="00A97587" w:rsidP="000B4017">
      <w:pPr>
        <w:pStyle w:val="ListBullet"/>
        <w:numPr>
          <w:ilvl w:val="0"/>
          <w:numId w:val="17"/>
        </w:numPr>
      </w:pPr>
      <w:r w:rsidRPr="001B6517">
        <w:t xml:space="preserve">Антигистаминные </w:t>
      </w:r>
    </w:p>
    <w:p w:rsidR="00A97587" w:rsidRPr="001B6517" w:rsidRDefault="00A97587" w:rsidP="000B4017">
      <w:pPr>
        <w:pStyle w:val="ListBullet"/>
        <w:numPr>
          <w:ilvl w:val="0"/>
          <w:numId w:val="17"/>
        </w:numPr>
      </w:pPr>
      <w:r w:rsidRPr="001B6517">
        <w:t xml:space="preserve">Бронходилататоры </w:t>
      </w:r>
    </w:p>
    <w:p w:rsidR="00A97587" w:rsidRPr="001B6517" w:rsidRDefault="00A97587" w:rsidP="000B4017">
      <w:pPr>
        <w:pStyle w:val="ListBullet"/>
        <w:numPr>
          <w:ilvl w:val="0"/>
          <w:numId w:val="17"/>
        </w:numPr>
      </w:pPr>
      <w:r w:rsidRPr="001B6517">
        <w:t>Противовоспалительные нестероидные</w:t>
      </w:r>
    </w:p>
    <w:p w:rsidR="00A97587" w:rsidRPr="001B6517" w:rsidRDefault="00A97587" w:rsidP="000B4017">
      <w:pPr>
        <w:pStyle w:val="ListBullet"/>
        <w:numPr>
          <w:ilvl w:val="0"/>
          <w:numId w:val="17"/>
        </w:numPr>
      </w:pPr>
      <w:r w:rsidRPr="001B6517">
        <w:t xml:space="preserve">Кортикостероидные </w:t>
      </w:r>
    </w:p>
    <w:p w:rsidR="00A97587" w:rsidRPr="001B6517" w:rsidRDefault="00A97587" w:rsidP="000B4017">
      <w:pPr>
        <w:pStyle w:val="ListBullet"/>
        <w:numPr>
          <w:ilvl w:val="0"/>
          <w:numId w:val="17"/>
        </w:numPr>
      </w:pPr>
      <w:r w:rsidRPr="001B6517">
        <w:t xml:space="preserve">Тиреозамещающие гормоны </w:t>
      </w:r>
    </w:p>
    <w:p w:rsidR="00A97587" w:rsidRPr="001B6517" w:rsidRDefault="00A97587" w:rsidP="000B4017">
      <w:pPr>
        <w:pStyle w:val="ListBullet"/>
        <w:numPr>
          <w:ilvl w:val="0"/>
          <w:numId w:val="17"/>
        </w:numPr>
      </w:pPr>
      <w:r w:rsidRPr="001B6517">
        <w:t xml:space="preserve">Противосудорожные </w:t>
      </w:r>
    </w:p>
    <w:p w:rsidR="00A97587" w:rsidRPr="001B6517" w:rsidRDefault="00A97587" w:rsidP="000B4017">
      <w:pPr>
        <w:pStyle w:val="ListBullet"/>
        <w:numPr>
          <w:ilvl w:val="0"/>
          <w:numId w:val="17"/>
        </w:numPr>
      </w:pPr>
      <w:r w:rsidRPr="001B6517">
        <w:t>Противорвотные</w:t>
      </w:r>
    </w:p>
    <w:p w:rsidR="00A97587" w:rsidRPr="001B6517" w:rsidRDefault="00A97587" w:rsidP="000B4017">
      <w:pPr>
        <w:pStyle w:val="ListBullet"/>
        <w:numPr>
          <w:ilvl w:val="0"/>
          <w:numId w:val="17"/>
        </w:numPr>
      </w:pPr>
      <w:r w:rsidRPr="001B6517">
        <w:t xml:space="preserve"> Пробиотические</w:t>
      </w:r>
    </w:p>
    <w:p w:rsidR="00A97587" w:rsidRPr="001B6517" w:rsidRDefault="00A97587" w:rsidP="000B4017">
      <w:pPr>
        <w:pStyle w:val="ListBullet"/>
        <w:numPr>
          <w:ilvl w:val="0"/>
          <w:numId w:val="17"/>
        </w:numPr>
      </w:pPr>
      <w:r w:rsidRPr="001B6517">
        <w:t>Н2- блокаторы, ингибиторы протонного насоса, антацидные</w:t>
      </w:r>
    </w:p>
    <w:p w:rsidR="00A97587" w:rsidRPr="001B6517" w:rsidRDefault="00A97587" w:rsidP="000B4017">
      <w:pPr>
        <w:pStyle w:val="ListBullet"/>
        <w:numPr>
          <w:ilvl w:val="0"/>
          <w:numId w:val="17"/>
        </w:numPr>
      </w:pPr>
      <w:r w:rsidRPr="001B6517">
        <w:t>Антидепрессантные, седативные, нейролептические, анксиолитические</w:t>
      </w:r>
    </w:p>
    <w:p w:rsidR="00A97587" w:rsidRPr="001B6517" w:rsidRDefault="00A97587" w:rsidP="000B4017">
      <w:pPr>
        <w:ind w:hanging="360"/>
        <w:jc w:val="both"/>
        <w:rPr>
          <w:sz w:val="24"/>
          <w:szCs w:val="24"/>
        </w:rPr>
      </w:pPr>
    </w:p>
    <w:p w:rsidR="00A97587" w:rsidRDefault="00A97587" w:rsidP="00136C1B">
      <w:pPr>
        <w:pStyle w:val="Heading2"/>
        <w:numPr>
          <w:ilvl w:val="1"/>
          <w:numId w:val="16"/>
        </w:numPr>
        <w:ind w:left="0" w:firstLine="0"/>
      </w:pPr>
      <w:bookmarkStart w:id="76" w:name="_Toc373847373"/>
      <w:bookmarkStart w:id="77" w:name="_Toc374016067"/>
      <w:r w:rsidRPr="001B6517">
        <w:t>Коллапсотерпия</w:t>
      </w:r>
      <w:bookmarkEnd w:id="76"/>
      <w:bookmarkEnd w:id="77"/>
    </w:p>
    <w:p w:rsidR="00A97587" w:rsidRPr="00192261" w:rsidRDefault="00A97587" w:rsidP="00DF4E16">
      <w:pPr>
        <w:pStyle w:val="BodyText"/>
        <w:rPr>
          <w:rFonts w:ascii="Arial" w:hAnsi="Arial"/>
          <w:b/>
          <w:lang w:val="ru-RU"/>
        </w:rPr>
      </w:pPr>
    </w:p>
    <w:tbl>
      <w:tblPr>
        <w:tblW w:w="0" w:type="auto"/>
        <w:tblLook w:val="0000"/>
      </w:tblPr>
      <w:tblGrid>
        <w:gridCol w:w="648"/>
        <w:gridCol w:w="8922"/>
      </w:tblGrid>
      <w:tr w:rsidR="00A97587" w:rsidTr="00321871">
        <w:tc>
          <w:tcPr>
            <w:tcW w:w="648" w:type="dxa"/>
            <w:shd w:val="clear" w:color="auto" w:fill="8C8C8C"/>
            <w:vAlign w:val="center"/>
          </w:tcPr>
          <w:p w:rsidR="00A97587" w:rsidRPr="00571FB9" w:rsidRDefault="00A97587">
            <w:pPr>
              <w:pStyle w:val="a0"/>
              <w:spacing w:before="60" w:after="60"/>
              <w:jc w:val="center"/>
              <w:rPr>
                <w:rFonts w:ascii="Arial" w:hAnsi="Arial"/>
                <w:b/>
                <w:color w:val="FFFFFF"/>
                <w:lang w:val="en-US"/>
              </w:rPr>
            </w:pPr>
            <w:r>
              <w:rPr>
                <w:rFonts w:ascii="Arial" w:hAnsi="Arial"/>
                <w:b/>
                <w:color w:val="FFFFFF"/>
                <w:lang w:val="en-US"/>
              </w:rPr>
              <w:t>D</w:t>
            </w:r>
          </w:p>
        </w:tc>
        <w:tc>
          <w:tcPr>
            <w:tcW w:w="8922" w:type="dxa"/>
            <w:vAlign w:val="center"/>
          </w:tcPr>
          <w:p w:rsidR="00A97587" w:rsidRPr="00321871" w:rsidRDefault="00A97587" w:rsidP="00321871">
            <w:pPr>
              <w:pStyle w:val="a0"/>
              <w:rPr>
                <w:rFonts w:ascii="Arial" w:hAnsi="Arial"/>
                <w:i/>
              </w:rPr>
            </w:pPr>
            <w:r w:rsidRPr="00321871">
              <w:rPr>
                <w:rFonts w:ascii="Arial" w:hAnsi="Arial"/>
                <w:i/>
              </w:rPr>
              <w:t>В комплексное лечение пациентов с МЛУ/ШЛУ ТБ и деструктивными процессами</w:t>
            </w:r>
          </w:p>
          <w:p w:rsidR="00A97587" w:rsidRPr="00321871" w:rsidRDefault="00A97587" w:rsidP="00321871">
            <w:pPr>
              <w:pStyle w:val="a0"/>
              <w:rPr>
                <w:rFonts w:ascii="Arial" w:hAnsi="Arial"/>
                <w:i/>
              </w:rPr>
            </w:pPr>
            <w:r w:rsidRPr="00321871">
              <w:rPr>
                <w:rFonts w:ascii="Arial" w:hAnsi="Arial"/>
                <w:i/>
              </w:rPr>
              <w:t>в легком (легких) рекомендуется включать коллапсотерапию, как минимум</w:t>
            </w:r>
          </w:p>
          <w:p w:rsidR="00A97587" w:rsidRPr="00321871" w:rsidRDefault="00A97587" w:rsidP="00321871">
            <w:pPr>
              <w:pStyle w:val="a0"/>
              <w:rPr>
                <w:rFonts w:ascii="Arial" w:hAnsi="Arial"/>
                <w:i/>
              </w:rPr>
            </w:pPr>
            <w:r w:rsidRPr="00321871">
              <w:rPr>
                <w:rFonts w:ascii="Arial" w:hAnsi="Arial"/>
                <w:i/>
              </w:rPr>
              <w:t>пневмоперитонеум (ПП)</w:t>
            </w:r>
          </w:p>
        </w:tc>
      </w:tr>
    </w:tbl>
    <w:p w:rsidR="00A97587" w:rsidRPr="00192261" w:rsidRDefault="00A97587" w:rsidP="000B4017">
      <w:pPr>
        <w:pStyle w:val="BodyText"/>
        <w:rPr>
          <w:lang w:val="ru-RU"/>
        </w:rPr>
      </w:pPr>
      <w:r w:rsidRPr="00192261">
        <w:rPr>
          <w:lang w:val="ru-RU"/>
        </w:rPr>
        <w:t>Показания и противопоказания к применению искусственного пневмоторакса  (ИП) и пневмоперитонеума (ПП).</w:t>
      </w:r>
    </w:p>
    <w:p w:rsidR="00A97587" w:rsidRPr="00192261" w:rsidRDefault="00A97587" w:rsidP="000B4017">
      <w:pPr>
        <w:pStyle w:val="BodyText"/>
        <w:rPr>
          <w:b/>
          <w:u w:val="single"/>
          <w:lang w:val="ru-RU"/>
        </w:rPr>
      </w:pPr>
      <w:r w:rsidRPr="00192261">
        <w:rPr>
          <w:b/>
          <w:u w:val="single"/>
          <w:lang w:val="ru-RU"/>
        </w:rPr>
        <w:t>Показания:</w:t>
      </w:r>
    </w:p>
    <w:p w:rsidR="00A97587" w:rsidRPr="00192261" w:rsidRDefault="00A97587" w:rsidP="000B4017">
      <w:pPr>
        <w:pStyle w:val="BodyText"/>
        <w:rPr>
          <w:lang w:val="ru-RU"/>
        </w:rPr>
      </w:pPr>
      <w:r w:rsidRPr="00192261">
        <w:rPr>
          <w:lang w:val="ru-RU"/>
        </w:rPr>
        <w:t>1. Формирование ИП на стороне поражения показано при наличии сформированных каверн без выраженной перикавитарной  инфильтрации при инфильтративном, кавернозном и ограниченном диссеминированном туберкулезе легких у больных при непереносимости основных химиопрепаратов (ХП), лекарственной устойчивости (ЛУ) МБТ, сопутствующих заболеваниях, ограничивающих проведение адекватной химиотерапии, кровохарканьи.</w:t>
      </w:r>
    </w:p>
    <w:p w:rsidR="00A97587" w:rsidRPr="00192261" w:rsidRDefault="00A97587" w:rsidP="000B4017">
      <w:pPr>
        <w:pStyle w:val="BodyText"/>
        <w:rPr>
          <w:lang w:val="ru-RU"/>
        </w:rPr>
      </w:pPr>
      <w:r w:rsidRPr="00192261">
        <w:rPr>
          <w:lang w:val="ru-RU"/>
        </w:rPr>
        <w:t>2. Формирование ИП на стороне наименьшего поражения показано при двустороннем инфильтративном, кавернозном, ограниченном диссеминированном и фиброзно-кавернозном туберкулезе с целью уменьшения остроты и распространенности процесса и подготовки больного к хирургическому лечению на стороне противоположного легкого.</w:t>
      </w:r>
    </w:p>
    <w:p w:rsidR="00A97587" w:rsidRPr="00192261" w:rsidRDefault="00A97587" w:rsidP="000B4017">
      <w:pPr>
        <w:pStyle w:val="BodyText"/>
        <w:rPr>
          <w:lang w:val="ru-RU"/>
        </w:rPr>
      </w:pPr>
      <w:r w:rsidRPr="00192261">
        <w:rPr>
          <w:lang w:val="ru-RU"/>
        </w:rPr>
        <w:t>3. Формирование двустороннего пневмоторакса показано при двустороннем инфильтративном, кавернозном, ограниченном диссеминированном туберкулезе у больных при непереносимости основных химиопрепаратов, лекарственной устойчивости МБТ, сопутствующих заболеваниях и др. состояниях, ограничивающих возможности проведения адекватной ХТ.</w:t>
      </w:r>
    </w:p>
    <w:p w:rsidR="00A97587" w:rsidRPr="00192261" w:rsidRDefault="00A97587" w:rsidP="000B4017">
      <w:pPr>
        <w:pStyle w:val="BodyText"/>
        <w:rPr>
          <w:b/>
          <w:u w:val="single"/>
          <w:lang w:val="ru-RU"/>
        </w:rPr>
      </w:pPr>
      <w:r w:rsidRPr="00192261">
        <w:rPr>
          <w:b/>
          <w:u w:val="single"/>
          <w:lang w:val="ru-RU"/>
        </w:rPr>
        <w:t>ИП противопоказан:</w:t>
      </w:r>
    </w:p>
    <w:p w:rsidR="00A97587" w:rsidRPr="00192261" w:rsidRDefault="00A97587" w:rsidP="000B4017">
      <w:pPr>
        <w:pStyle w:val="BodyText"/>
        <w:rPr>
          <w:lang w:val="ru-RU"/>
        </w:rPr>
      </w:pPr>
      <w:r w:rsidRPr="00192261">
        <w:rPr>
          <w:lang w:val="ru-RU"/>
        </w:rPr>
        <w:t>1. При следующих клинических формах:</w:t>
      </w:r>
    </w:p>
    <w:p w:rsidR="00A97587" w:rsidRPr="001B6517" w:rsidRDefault="00A97587" w:rsidP="000B4017">
      <w:pPr>
        <w:pStyle w:val="ListBullet"/>
        <w:numPr>
          <w:ilvl w:val="0"/>
          <w:numId w:val="17"/>
        </w:numPr>
      </w:pPr>
      <w:r w:rsidRPr="001B6517">
        <w:t>Казеозная пневмония;</w:t>
      </w:r>
    </w:p>
    <w:p w:rsidR="00A97587" w:rsidRPr="001B6517" w:rsidRDefault="00A97587" w:rsidP="000B4017">
      <w:pPr>
        <w:pStyle w:val="ListBullet"/>
        <w:numPr>
          <w:ilvl w:val="0"/>
          <w:numId w:val="17"/>
        </w:numPr>
      </w:pPr>
      <w:r w:rsidRPr="001B6517">
        <w:t>Цирротический туберкулез легких.</w:t>
      </w:r>
    </w:p>
    <w:p w:rsidR="00A97587" w:rsidRPr="001B6517" w:rsidRDefault="00A97587" w:rsidP="000B4017">
      <w:pPr>
        <w:pStyle w:val="ListBullet"/>
        <w:numPr>
          <w:ilvl w:val="0"/>
          <w:numId w:val="17"/>
        </w:numPr>
      </w:pPr>
      <w:r w:rsidRPr="001B6517">
        <w:t>Экссудативный и адгезивный плеврит на стороне наложения ИП;</w:t>
      </w:r>
    </w:p>
    <w:p w:rsidR="00A97587" w:rsidRPr="001B6517" w:rsidRDefault="00A97587" w:rsidP="000B4017">
      <w:pPr>
        <w:pStyle w:val="BodyText"/>
      </w:pPr>
      <w:r w:rsidRPr="001B6517">
        <w:t>2. При кавернах:</w:t>
      </w:r>
    </w:p>
    <w:p w:rsidR="00A97587" w:rsidRPr="001B6517" w:rsidRDefault="00A97587" w:rsidP="000B4017">
      <w:pPr>
        <w:pStyle w:val="ListBullet"/>
        <w:numPr>
          <w:ilvl w:val="0"/>
          <w:numId w:val="17"/>
        </w:numPr>
      </w:pPr>
      <w:r w:rsidRPr="001B6517">
        <w:t>размерами более 6 см;</w:t>
      </w:r>
    </w:p>
    <w:p w:rsidR="00A97587" w:rsidRPr="001B6517" w:rsidRDefault="00A97587" w:rsidP="000B4017">
      <w:pPr>
        <w:pStyle w:val="ListBullet"/>
        <w:numPr>
          <w:ilvl w:val="0"/>
          <w:numId w:val="17"/>
        </w:numPr>
      </w:pPr>
      <w:r w:rsidRPr="001B6517">
        <w:t>расположенных в цирротических участках легкого;</w:t>
      </w:r>
    </w:p>
    <w:p w:rsidR="00A97587" w:rsidRPr="001B6517" w:rsidRDefault="00A97587" w:rsidP="000B4017">
      <w:pPr>
        <w:pStyle w:val="ListBullet"/>
        <w:numPr>
          <w:ilvl w:val="0"/>
          <w:numId w:val="17"/>
        </w:numPr>
      </w:pPr>
      <w:r w:rsidRPr="001B6517">
        <w:t>примыкающих к плевре;</w:t>
      </w:r>
    </w:p>
    <w:p w:rsidR="00A97587" w:rsidRPr="001B6517" w:rsidRDefault="00A97587" w:rsidP="000B4017">
      <w:pPr>
        <w:pStyle w:val="ListBullet"/>
        <w:numPr>
          <w:ilvl w:val="0"/>
          <w:numId w:val="17"/>
        </w:numPr>
      </w:pPr>
      <w:r w:rsidRPr="001B6517">
        <w:t>блокированных кавернах (противопоказание временное).</w:t>
      </w:r>
    </w:p>
    <w:p w:rsidR="00A97587" w:rsidRPr="001B6517" w:rsidRDefault="00A97587" w:rsidP="000B4017">
      <w:pPr>
        <w:pStyle w:val="BodyText"/>
      </w:pPr>
      <w:r w:rsidRPr="001B6517">
        <w:t>3. Общие противопоказания:</w:t>
      </w:r>
    </w:p>
    <w:p w:rsidR="00A97587" w:rsidRPr="001B6517" w:rsidRDefault="00A97587" w:rsidP="000B4017">
      <w:pPr>
        <w:pStyle w:val="ListBullet"/>
        <w:numPr>
          <w:ilvl w:val="0"/>
          <w:numId w:val="17"/>
        </w:numPr>
      </w:pPr>
      <w:r w:rsidRPr="001B6517">
        <w:t>активный туберкулез бронха на стороне поражения;</w:t>
      </w:r>
    </w:p>
    <w:p w:rsidR="00A97587" w:rsidRPr="001B6517" w:rsidRDefault="00A97587" w:rsidP="000B4017">
      <w:pPr>
        <w:pStyle w:val="ListBullet"/>
        <w:numPr>
          <w:ilvl w:val="0"/>
          <w:numId w:val="17"/>
        </w:numPr>
      </w:pPr>
      <w:r w:rsidRPr="001B6517">
        <w:t>активной воспаление бронхов любой природы;</w:t>
      </w:r>
    </w:p>
    <w:p w:rsidR="00A97587" w:rsidRPr="001B6517" w:rsidRDefault="00A97587" w:rsidP="000B4017">
      <w:pPr>
        <w:pStyle w:val="ListBullet"/>
        <w:numPr>
          <w:ilvl w:val="0"/>
          <w:numId w:val="17"/>
        </w:numPr>
      </w:pPr>
      <w:r w:rsidRPr="001B6517">
        <w:t>стеноз бронха  2-3 ст;</w:t>
      </w:r>
    </w:p>
    <w:p w:rsidR="00A97587" w:rsidRPr="001B6517" w:rsidRDefault="00A97587" w:rsidP="000B4017">
      <w:pPr>
        <w:pStyle w:val="ListBullet"/>
        <w:numPr>
          <w:ilvl w:val="0"/>
          <w:numId w:val="17"/>
        </w:numPr>
      </w:pPr>
      <w:r w:rsidRPr="001B6517">
        <w:t>эмфизема легких;</w:t>
      </w:r>
    </w:p>
    <w:p w:rsidR="00A97587" w:rsidRPr="001B6517" w:rsidRDefault="00A97587" w:rsidP="000B4017">
      <w:pPr>
        <w:pStyle w:val="ListBullet"/>
        <w:numPr>
          <w:ilvl w:val="0"/>
          <w:numId w:val="17"/>
        </w:numPr>
      </w:pPr>
      <w:r w:rsidRPr="001B6517">
        <w:t>пневмокониоз;</w:t>
      </w:r>
    </w:p>
    <w:p w:rsidR="00A97587" w:rsidRPr="001B6517" w:rsidRDefault="00A97587" w:rsidP="000B4017">
      <w:pPr>
        <w:pStyle w:val="ListBullet"/>
        <w:numPr>
          <w:ilvl w:val="0"/>
          <w:numId w:val="17"/>
        </w:numPr>
      </w:pPr>
      <w:r w:rsidRPr="001B6517">
        <w:t>дыхательная недостаточность II-III степени;</w:t>
      </w:r>
    </w:p>
    <w:p w:rsidR="00A97587" w:rsidRPr="001B6517" w:rsidRDefault="00A97587" w:rsidP="000B4017">
      <w:pPr>
        <w:pStyle w:val="ListBullet"/>
        <w:numPr>
          <w:ilvl w:val="0"/>
          <w:numId w:val="17"/>
        </w:numPr>
      </w:pPr>
      <w:r w:rsidRPr="001B6517">
        <w:t>бронхообструктивный синдром;</w:t>
      </w:r>
    </w:p>
    <w:p w:rsidR="00A97587" w:rsidRPr="001B6517" w:rsidRDefault="00A97587" w:rsidP="000B4017">
      <w:pPr>
        <w:pStyle w:val="ListBullet"/>
        <w:numPr>
          <w:ilvl w:val="0"/>
          <w:numId w:val="17"/>
        </w:numPr>
      </w:pPr>
      <w:r w:rsidRPr="001B6517">
        <w:t>состояние после оперативного  вмешательства  на  стороне  каверны;</w:t>
      </w:r>
    </w:p>
    <w:p w:rsidR="00A97587" w:rsidRPr="001B6517" w:rsidRDefault="00A97587" w:rsidP="000B4017">
      <w:pPr>
        <w:pStyle w:val="ListBullet"/>
        <w:numPr>
          <w:ilvl w:val="0"/>
          <w:numId w:val="17"/>
        </w:numPr>
      </w:pPr>
      <w:r w:rsidRPr="001B6517">
        <w:t>поражение сердечно-сосудистой системы в фазе декомпенсации (ИБС:стенокардия III-IV функционального класса, нарушения сердечного ритма, постинфарктный кардиосклероз, гипертоническая болезнь II-III степени);</w:t>
      </w:r>
    </w:p>
    <w:p w:rsidR="00A97587" w:rsidRPr="00192261" w:rsidRDefault="00A97587" w:rsidP="000B4017">
      <w:pPr>
        <w:pStyle w:val="BodyText"/>
        <w:rPr>
          <w:lang w:val="ru-RU"/>
        </w:rPr>
      </w:pPr>
      <w:r w:rsidRPr="00192261">
        <w:rPr>
          <w:lang w:val="ru-RU"/>
        </w:rPr>
        <w:t>4.Возраст старше 60 лет.</w:t>
      </w:r>
    </w:p>
    <w:p w:rsidR="00A97587" w:rsidRPr="00192261" w:rsidRDefault="00A97587" w:rsidP="000B4017">
      <w:pPr>
        <w:pStyle w:val="BodyText"/>
        <w:rPr>
          <w:b/>
          <w:u w:val="single"/>
          <w:lang w:val="ru-RU"/>
        </w:rPr>
      </w:pPr>
      <w:r w:rsidRPr="00192261">
        <w:rPr>
          <w:b/>
          <w:u w:val="single"/>
          <w:lang w:val="ru-RU"/>
        </w:rPr>
        <w:t>Показания для пневмоперитонеума:</w:t>
      </w:r>
    </w:p>
    <w:p w:rsidR="00A97587" w:rsidRPr="001B6517" w:rsidRDefault="00A97587" w:rsidP="000B4017">
      <w:pPr>
        <w:pStyle w:val="ListBullet"/>
        <w:numPr>
          <w:ilvl w:val="0"/>
          <w:numId w:val="17"/>
        </w:numPr>
      </w:pPr>
      <w:r w:rsidRPr="001B6517">
        <w:t>деструктивные процессы в средне-нижних отделах легких независимо от клинической формы</w:t>
      </w:r>
    </w:p>
    <w:p w:rsidR="00A97587" w:rsidRPr="001B6517" w:rsidRDefault="00A97587" w:rsidP="000B4017">
      <w:pPr>
        <w:pStyle w:val="ListBullet"/>
        <w:numPr>
          <w:ilvl w:val="0"/>
          <w:numId w:val="17"/>
        </w:numPr>
      </w:pPr>
      <w:r w:rsidRPr="001B6517">
        <w:t>деструктивные процессы в верхних долях легких и противопоказании ИП</w:t>
      </w:r>
    </w:p>
    <w:p w:rsidR="00A97587" w:rsidRPr="001B6517" w:rsidRDefault="00A97587" w:rsidP="000B4017">
      <w:pPr>
        <w:pStyle w:val="ListBullet"/>
        <w:numPr>
          <w:ilvl w:val="0"/>
          <w:numId w:val="17"/>
        </w:numPr>
      </w:pPr>
      <w:r w:rsidRPr="001B6517">
        <w:t xml:space="preserve">при рецидивирующем кровохарканье </w:t>
      </w:r>
    </w:p>
    <w:p w:rsidR="00A97587" w:rsidRPr="00192261" w:rsidRDefault="00A97587" w:rsidP="000B4017">
      <w:pPr>
        <w:pStyle w:val="BodyText"/>
        <w:rPr>
          <w:b/>
          <w:u w:val="single"/>
        </w:rPr>
      </w:pPr>
      <w:r w:rsidRPr="00192261">
        <w:rPr>
          <w:b/>
          <w:u w:val="single"/>
        </w:rPr>
        <w:t>ПП противопоказан :</w:t>
      </w:r>
    </w:p>
    <w:p w:rsidR="00A97587" w:rsidRPr="001B6517" w:rsidRDefault="00A97587" w:rsidP="000B4017">
      <w:pPr>
        <w:pStyle w:val="ListBullet"/>
        <w:numPr>
          <w:ilvl w:val="0"/>
          <w:numId w:val="17"/>
        </w:numPr>
      </w:pPr>
      <w:r w:rsidRPr="001B6517">
        <w:t>«Блокированные» каверны</w:t>
      </w:r>
    </w:p>
    <w:p w:rsidR="00A97587" w:rsidRPr="001B6517" w:rsidRDefault="00A97587" w:rsidP="000B4017">
      <w:pPr>
        <w:pStyle w:val="ListBullet"/>
        <w:numPr>
          <w:ilvl w:val="0"/>
          <w:numId w:val="17"/>
        </w:numPr>
      </w:pPr>
      <w:r w:rsidRPr="001B6517">
        <w:t>Милиарный туберкулез</w:t>
      </w:r>
    </w:p>
    <w:p w:rsidR="00A97587" w:rsidRPr="001B6517" w:rsidRDefault="00A97587" w:rsidP="000B4017">
      <w:pPr>
        <w:pStyle w:val="ListBullet"/>
        <w:numPr>
          <w:ilvl w:val="0"/>
          <w:numId w:val="17"/>
        </w:numPr>
      </w:pPr>
      <w:r w:rsidRPr="001B6517">
        <w:t>Дыхательная недостаточность II-III степени</w:t>
      </w:r>
    </w:p>
    <w:p w:rsidR="00A97587" w:rsidRPr="001B6517" w:rsidRDefault="00A97587" w:rsidP="000B4017">
      <w:pPr>
        <w:pStyle w:val="ListBullet"/>
        <w:numPr>
          <w:ilvl w:val="0"/>
          <w:numId w:val="17"/>
        </w:numPr>
      </w:pPr>
      <w:r w:rsidRPr="001B6517">
        <w:t>Воспалительные изменения в брюшной полости, грыжи белой линии , паховые, перерастянутый брюшной пресс.</w:t>
      </w:r>
    </w:p>
    <w:p w:rsidR="00A97587" w:rsidRPr="001B6517" w:rsidRDefault="00A97587" w:rsidP="000B4017">
      <w:pPr>
        <w:pStyle w:val="ListBullet"/>
        <w:numPr>
          <w:ilvl w:val="0"/>
          <w:numId w:val="17"/>
        </w:numPr>
      </w:pPr>
      <w:r w:rsidRPr="001B6517">
        <w:t>Активный  туберкулёз  органов  малого  таза</w:t>
      </w:r>
    </w:p>
    <w:p w:rsidR="00A97587" w:rsidRPr="001B6517" w:rsidRDefault="00A97587" w:rsidP="000B4017">
      <w:pPr>
        <w:pStyle w:val="ListBullet"/>
        <w:numPr>
          <w:ilvl w:val="0"/>
          <w:numId w:val="17"/>
        </w:numPr>
      </w:pPr>
      <w:r w:rsidRPr="001B6517">
        <w:t>ИБС, сердечно-сосудистая недостаточность, атеросклероз сосудов</w:t>
      </w:r>
    </w:p>
    <w:p w:rsidR="00A97587" w:rsidRPr="001B6517" w:rsidRDefault="00A97587" w:rsidP="000B4017">
      <w:pPr>
        <w:pStyle w:val="ListBullet"/>
        <w:numPr>
          <w:ilvl w:val="0"/>
          <w:numId w:val="17"/>
        </w:numPr>
      </w:pPr>
      <w:r w:rsidRPr="001B6517">
        <w:t>Амилоидоз внутренних органов</w:t>
      </w:r>
    </w:p>
    <w:p w:rsidR="00A97587" w:rsidRPr="001B6517" w:rsidRDefault="00A97587" w:rsidP="000B4017">
      <w:pPr>
        <w:pStyle w:val="ListBullet"/>
        <w:numPr>
          <w:ilvl w:val="0"/>
          <w:numId w:val="17"/>
        </w:numPr>
      </w:pPr>
      <w:r w:rsidRPr="001B6517">
        <w:t>Ранний послеоперационный  период на  органах  брюшной  полости</w:t>
      </w:r>
    </w:p>
    <w:p w:rsidR="00A97587" w:rsidRPr="00192261" w:rsidRDefault="00A97587" w:rsidP="000B4017">
      <w:pPr>
        <w:pStyle w:val="BodyText"/>
        <w:rPr>
          <w:b/>
          <w:u w:val="single"/>
          <w:lang w:val="ru-RU"/>
        </w:rPr>
      </w:pPr>
      <w:r w:rsidRPr="00192261">
        <w:rPr>
          <w:b/>
          <w:u w:val="single"/>
          <w:lang w:val="ru-RU"/>
        </w:rPr>
        <w:t xml:space="preserve">Показания к применению  комбинированной коллапсотерапии (ИПП+ИПТ): </w:t>
      </w:r>
    </w:p>
    <w:p w:rsidR="00A97587" w:rsidRPr="001B6517" w:rsidRDefault="00A97587" w:rsidP="000B4017">
      <w:pPr>
        <w:pStyle w:val="ListBullet"/>
        <w:numPr>
          <w:ilvl w:val="0"/>
          <w:numId w:val="17"/>
        </w:numPr>
      </w:pPr>
      <w:r w:rsidRPr="001B6517">
        <w:t>двусторонний деструктивный  туберкулёз  лёгких с  кавернами  в верхней и нижней и/или  средней долях;</w:t>
      </w:r>
    </w:p>
    <w:p w:rsidR="00A97587" w:rsidRPr="001B6517" w:rsidRDefault="00A97587" w:rsidP="000B4017">
      <w:pPr>
        <w:pStyle w:val="ListBullet"/>
        <w:numPr>
          <w:ilvl w:val="0"/>
          <w:numId w:val="17"/>
        </w:numPr>
      </w:pPr>
      <w:r w:rsidRPr="001B6517">
        <w:t>односторонний деструктивный  туберкулёз с  кавернами  в верхней и нижней и/или  средней долях;</w:t>
      </w:r>
    </w:p>
    <w:p w:rsidR="00A97587" w:rsidRPr="001B6517" w:rsidRDefault="00A97587" w:rsidP="000B4017">
      <w:pPr>
        <w:pStyle w:val="ListBullet"/>
        <w:numPr>
          <w:ilvl w:val="0"/>
          <w:numId w:val="17"/>
        </w:numPr>
        <w:rPr>
          <w:b/>
        </w:rPr>
      </w:pPr>
      <w:r w:rsidRPr="001B6517">
        <w:rPr>
          <w:b/>
        </w:rPr>
        <w:t>рецидивирующее кровохарканье или легочное кровотечение</w:t>
      </w:r>
    </w:p>
    <w:p w:rsidR="00A97587" w:rsidRPr="00192261" w:rsidRDefault="00A97587" w:rsidP="000B4017">
      <w:pPr>
        <w:pStyle w:val="BodyText"/>
        <w:rPr>
          <w:b/>
          <w:u w:val="single"/>
        </w:rPr>
      </w:pPr>
      <w:r w:rsidRPr="00192261">
        <w:rPr>
          <w:b/>
          <w:u w:val="single"/>
        </w:rPr>
        <w:t xml:space="preserve">Клапанная бронхоблокация  </w:t>
      </w:r>
    </w:p>
    <w:p w:rsidR="00A97587" w:rsidRDefault="00A97587" w:rsidP="000B4017">
      <w:pPr>
        <w:pStyle w:val="BodyText"/>
        <w:rPr>
          <w:lang w:val="ru-RU"/>
        </w:rPr>
      </w:pPr>
      <w:r w:rsidRPr="00192261">
        <w:rPr>
          <w:lang w:val="ru-RU"/>
        </w:rPr>
        <w:t xml:space="preserve">Технология клапанной бронхоблокации  (КББ) применяется для  лечения тонкостенных каверн и полостей распада без выраженной перифокальной инфильтрации при диссеминированном, кавернозном и фибрознокавернозном туберкулезе и  противопоказаниях к хирургическому лечению.  </w:t>
      </w:r>
      <w:r w:rsidRPr="004E572C">
        <w:rPr>
          <w:lang w:val="ru-RU"/>
        </w:rPr>
        <w:t xml:space="preserve">КББ противопоказана при воспалительных заболеваниях бронхов, рубцовом стенозе бронхов. </w:t>
      </w:r>
    </w:p>
    <w:p w:rsidR="00A97587" w:rsidRPr="00DF4E16" w:rsidRDefault="00A97587" w:rsidP="000B4017">
      <w:pPr>
        <w:pStyle w:val="BodyText"/>
        <w:rPr>
          <w:lang w:val="ru-RU"/>
        </w:rPr>
      </w:pPr>
    </w:p>
    <w:p w:rsidR="00A97587" w:rsidRPr="001B6517" w:rsidRDefault="00A97587" w:rsidP="00136C1B">
      <w:pPr>
        <w:pStyle w:val="Heading2"/>
        <w:numPr>
          <w:ilvl w:val="1"/>
          <w:numId w:val="16"/>
        </w:numPr>
        <w:ind w:left="0" w:firstLine="0"/>
      </w:pPr>
      <w:bookmarkStart w:id="78" w:name="_Toc373847374"/>
      <w:bookmarkStart w:id="79" w:name="_Toc374016068"/>
      <w:r w:rsidRPr="001B6517">
        <w:t>Хирургическое лечение</w:t>
      </w:r>
      <w:bookmarkEnd w:id="78"/>
      <w:bookmarkEnd w:id="79"/>
    </w:p>
    <w:p w:rsidR="00A97587" w:rsidRPr="00192261" w:rsidRDefault="00A97587" w:rsidP="004E572C">
      <w:pPr>
        <w:pStyle w:val="BodyText"/>
        <w:rPr>
          <w:lang w:val="ru-RU"/>
        </w:rPr>
      </w:pPr>
      <w:r w:rsidRPr="00192261">
        <w:rPr>
          <w:lang w:val="ru-RU"/>
        </w:rPr>
        <w:t>Хирургическое лечение является компонентом комплексного лечения туберкулеза. Вопрос о возможности и сроках проведения хирургического вмешательства решается врачебной комиссией  с участием хирурга, фтизиатра и анестезиолога до начала химиотерапии и при проведении химиотерапии</w:t>
      </w:r>
    </w:p>
    <w:p w:rsidR="00A97587" w:rsidRPr="00192261" w:rsidRDefault="00A97587" w:rsidP="004E572C">
      <w:pPr>
        <w:pStyle w:val="BodyText"/>
        <w:rPr>
          <w:b/>
          <w:u w:val="single"/>
        </w:rPr>
      </w:pPr>
      <w:r w:rsidRPr="00192261">
        <w:rPr>
          <w:b/>
          <w:u w:val="single"/>
        </w:rPr>
        <w:t>Показания к хирургическому лечению:</w:t>
      </w:r>
    </w:p>
    <w:p w:rsidR="00A97587" w:rsidRPr="001B6517" w:rsidRDefault="00A97587" w:rsidP="004E572C">
      <w:pPr>
        <w:pStyle w:val="ListBullet"/>
        <w:numPr>
          <w:ilvl w:val="0"/>
          <w:numId w:val="17"/>
        </w:numPr>
        <w:jc w:val="both"/>
      </w:pPr>
      <w:r w:rsidRPr="001B6517">
        <w:t>Установление диагноза при невозможности исключить (подтвердить) диагноз туберкулеза другими методами диагностики.</w:t>
      </w:r>
    </w:p>
    <w:p w:rsidR="00A97587" w:rsidRPr="001B6517" w:rsidRDefault="00A97587" w:rsidP="004E572C">
      <w:pPr>
        <w:pStyle w:val="ListBullet"/>
        <w:numPr>
          <w:ilvl w:val="0"/>
          <w:numId w:val="17"/>
        </w:numPr>
        <w:jc w:val="both"/>
      </w:pPr>
      <w:r w:rsidRPr="001B6517">
        <w:t>Ликвидация источника выделения МБТ при наличии полостей распада на фоне контролируемой ХТ.</w:t>
      </w:r>
    </w:p>
    <w:p w:rsidR="00A97587" w:rsidRPr="001B6517" w:rsidRDefault="00A97587" w:rsidP="004E572C">
      <w:pPr>
        <w:pStyle w:val="ListBullet"/>
        <w:numPr>
          <w:ilvl w:val="0"/>
          <w:numId w:val="17"/>
        </w:numPr>
        <w:jc w:val="both"/>
      </w:pPr>
      <w:r w:rsidRPr="001B6517">
        <w:t>Ликвидация источника МБТ при туберкулемах на фоне контролируемой химиотерапии.</w:t>
      </w:r>
    </w:p>
    <w:p w:rsidR="00A97587" w:rsidRPr="001B6517" w:rsidRDefault="00A97587" w:rsidP="004E572C">
      <w:pPr>
        <w:pStyle w:val="ListBullet"/>
        <w:numPr>
          <w:ilvl w:val="0"/>
          <w:numId w:val="17"/>
        </w:numPr>
        <w:jc w:val="both"/>
      </w:pPr>
      <w:r w:rsidRPr="001B6517">
        <w:t>Осложнения и последствия туберкулеза легких.</w:t>
      </w:r>
    </w:p>
    <w:p w:rsidR="00A97587" w:rsidRPr="00192261" w:rsidRDefault="00A97587" w:rsidP="000B4017">
      <w:pPr>
        <w:pStyle w:val="BodyText"/>
        <w:rPr>
          <w:b/>
          <w:u w:val="single"/>
          <w:lang w:val="ru-RU"/>
        </w:rPr>
      </w:pPr>
      <w:r w:rsidRPr="00192261">
        <w:rPr>
          <w:b/>
          <w:u w:val="single"/>
          <w:lang w:val="ru-RU"/>
        </w:rPr>
        <w:t>Основные принципы оптимального сочетания химиотерапии и хирургического лечения:</w:t>
      </w:r>
    </w:p>
    <w:p w:rsidR="00A97587" w:rsidRPr="003F6786" w:rsidRDefault="00A97587" w:rsidP="004E572C">
      <w:pPr>
        <w:pStyle w:val="ListBullet"/>
        <w:numPr>
          <w:ilvl w:val="0"/>
          <w:numId w:val="17"/>
        </w:numPr>
        <w:jc w:val="both"/>
      </w:pPr>
      <w:r w:rsidRPr="003F6786">
        <w:t xml:space="preserve">При туберкулезе органов дыхания химиотерапия перед проведением плановой операции должна продолжаться не менее двух месяцев (в случае туберкуломы не менее 1 месяца). </w:t>
      </w:r>
    </w:p>
    <w:p w:rsidR="00A97587" w:rsidRPr="003F6786" w:rsidRDefault="00A97587" w:rsidP="004E572C">
      <w:pPr>
        <w:pStyle w:val="ListBullet"/>
        <w:numPr>
          <w:ilvl w:val="0"/>
          <w:numId w:val="17"/>
        </w:numPr>
        <w:jc w:val="both"/>
      </w:pPr>
      <w:r w:rsidRPr="003F6786">
        <w:t xml:space="preserve">Режим химиотерапии должен оставаться непрерывным, за исключением одного или двух первых дней раннего послеоперационного периода. </w:t>
      </w:r>
    </w:p>
    <w:p w:rsidR="00A97587" w:rsidRPr="003F6786" w:rsidRDefault="00A97587" w:rsidP="004E572C">
      <w:pPr>
        <w:pStyle w:val="ListBullet"/>
        <w:numPr>
          <w:ilvl w:val="0"/>
          <w:numId w:val="17"/>
        </w:numPr>
        <w:jc w:val="both"/>
      </w:pPr>
      <w:r w:rsidRPr="003F6786">
        <w:t>В послеоперационном периоде продолжается или возобновляется интенсивная фаза терапии, длительность которой определяется ВК, но не менее 2 месяцев при туберкулезе с сохраненной лекарственной чувствительностью возбудителя и при моно- и полирезистентности МБТ, не менее 6 месяцев при МЛУ/ШЛУ ТБ.</w:t>
      </w:r>
    </w:p>
    <w:p w:rsidR="00A97587" w:rsidRPr="003F6786" w:rsidRDefault="00A97587" w:rsidP="004E572C">
      <w:pPr>
        <w:pStyle w:val="ListBullet"/>
        <w:numPr>
          <w:ilvl w:val="0"/>
          <w:numId w:val="17"/>
        </w:numPr>
        <w:jc w:val="both"/>
      </w:pPr>
      <w:r w:rsidRPr="003F6786">
        <w:t>Общая длительность химиотерапии в послеоперационном периоде должна составлять не менее 4 месяцев при туберкулезе с сохраненной лекарственной чувствительностью возбудителя, 6 месяцев - при наличии моно- или полирезистентности МБТ, 12 месяцев - при МЛУ/ШЛУ ТБ вне зависимости от длительности дооперационного периода. При неизвестной лекарственной чувствительности возбудителя общая длительность химиотерапии в послеоперационном периоде должна составлять не менее 6 месяцев.</w:t>
      </w:r>
    </w:p>
    <w:p w:rsidR="00A97587" w:rsidRPr="003F6786" w:rsidRDefault="00A97587" w:rsidP="004E572C">
      <w:pPr>
        <w:pStyle w:val="ListBullet"/>
        <w:numPr>
          <w:ilvl w:val="0"/>
          <w:numId w:val="17"/>
        </w:numPr>
        <w:jc w:val="both"/>
      </w:pPr>
      <w:r w:rsidRPr="003F6786">
        <w:t xml:space="preserve">Режимы химиотерапии больных МЛУ/ШЛУ ТБ, подвергшихся хирургическому вмешательству, составляются в соответствии с ранее описанным алгоритмом по результатам ТЛЧ молекулярно-генетическим и /или методом посева на жидких/ плотных средах, полученного из операционного материала. </w:t>
      </w:r>
    </w:p>
    <w:p w:rsidR="00A97587" w:rsidRPr="001B6517" w:rsidRDefault="00A97587" w:rsidP="00136C1B">
      <w:pPr>
        <w:pStyle w:val="Heading2"/>
        <w:numPr>
          <w:ilvl w:val="1"/>
          <w:numId w:val="16"/>
        </w:numPr>
        <w:ind w:left="0" w:firstLine="0"/>
      </w:pPr>
      <w:bookmarkStart w:id="80" w:name="_Toc373846959"/>
      <w:bookmarkStart w:id="81" w:name="_Toc373847375"/>
      <w:bookmarkStart w:id="82" w:name="_Toc373847455"/>
      <w:bookmarkStart w:id="83" w:name="_Toc373847508"/>
      <w:bookmarkStart w:id="84" w:name="_Toc373846960"/>
      <w:bookmarkStart w:id="85" w:name="_Toc373847376"/>
      <w:bookmarkStart w:id="86" w:name="_Toc373847456"/>
      <w:bookmarkStart w:id="87" w:name="_Toc373847509"/>
      <w:bookmarkStart w:id="88" w:name="_Toc373847378"/>
      <w:bookmarkStart w:id="89" w:name="_Toc374016069"/>
      <w:bookmarkEnd w:id="80"/>
      <w:bookmarkEnd w:id="81"/>
      <w:bookmarkEnd w:id="82"/>
      <w:bookmarkEnd w:id="83"/>
      <w:bookmarkEnd w:id="84"/>
      <w:bookmarkEnd w:id="85"/>
      <w:bookmarkEnd w:id="86"/>
      <w:bookmarkEnd w:id="87"/>
      <w:r w:rsidRPr="001B6517">
        <w:t>Особые ситуации при лечении туберкулеза</w:t>
      </w:r>
      <w:bookmarkEnd w:id="88"/>
      <w:bookmarkEnd w:id="89"/>
      <w:r w:rsidRPr="001B6517">
        <w:t xml:space="preserve"> </w:t>
      </w:r>
    </w:p>
    <w:p w:rsidR="00A97587" w:rsidRPr="00192261" w:rsidRDefault="00A97587" w:rsidP="000B4017">
      <w:pPr>
        <w:pStyle w:val="Heading3"/>
        <w:numPr>
          <w:ilvl w:val="2"/>
          <w:numId w:val="16"/>
        </w:numPr>
        <w:rPr>
          <w:rFonts w:eastAsia="Batang"/>
        </w:rPr>
      </w:pPr>
      <w:bookmarkStart w:id="90" w:name="_Toc373847379"/>
      <w:r w:rsidRPr="00C175C0">
        <w:t>ВИЧ – инфекция.</w:t>
      </w:r>
      <w:bookmarkEnd w:id="90"/>
      <w:r w:rsidRPr="00192261">
        <w:rPr>
          <w:rFonts w:eastAsia="Batang"/>
        </w:rPr>
        <w:t xml:space="preserve"> </w:t>
      </w:r>
    </w:p>
    <w:p w:rsidR="00A97587" w:rsidRPr="004E572C" w:rsidRDefault="00A97587" w:rsidP="004E572C">
      <w:pPr>
        <w:pStyle w:val="BodyText"/>
        <w:rPr>
          <w:rFonts w:cs="Times New Roman"/>
          <w:lang w:val="ru-RU"/>
        </w:rPr>
      </w:pPr>
      <w:r w:rsidRPr="00192261">
        <w:rPr>
          <w:lang w:val="ru-RU"/>
        </w:rPr>
        <w:t xml:space="preserve">До начала лечения необходимо проведение ускоренных молекулярно-генетических </w:t>
      </w:r>
      <w:r w:rsidRPr="004E572C">
        <w:rPr>
          <w:rFonts w:cs="Times New Roman"/>
          <w:lang w:val="ru-RU"/>
        </w:rPr>
        <w:t>тестов для определения ЛУ МБТ как минимум к изониазиду и рифампицину.</w:t>
      </w:r>
    </w:p>
    <w:p w:rsidR="00A97587" w:rsidRPr="004E572C" w:rsidRDefault="00A97587" w:rsidP="004E572C">
      <w:pPr>
        <w:pStyle w:val="ListBullet"/>
        <w:numPr>
          <w:ilvl w:val="0"/>
          <w:numId w:val="17"/>
        </w:numPr>
        <w:jc w:val="both"/>
      </w:pPr>
      <w:r w:rsidRPr="004E572C">
        <w:t xml:space="preserve">Длительность лечения больных туберкулезом в сочетании с ВИЧ-инфекцией должна составлять не менее 9 месяцев при туберкулезе с сохраненной чувствительностью МБТ или 12 месяцев – с лекарственной устойчивостью, но не МЛУ. Длительность фаз лечения может быть увеличена по решению ВК. Длительность лечения при МЛУ/ШЛУ туберкулезе - в соответствии с </w:t>
      </w:r>
      <w:r w:rsidRPr="004E572C">
        <w:rPr>
          <w:lang w:val="en-US"/>
        </w:rPr>
        <w:t>IV</w:t>
      </w:r>
      <w:r w:rsidRPr="004E572C">
        <w:t xml:space="preserve"> и </w:t>
      </w:r>
      <w:r w:rsidRPr="004E572C">
        <w:rPr>
          <w:lang w:val="en-US"/>
        </w:rPr>
        <w:t>V</w:t>
      </w:r>
      <w:r w:rsidRPr="004E572C">
        <w:t xml:space="preserve"> режимами химиотерапии. </w:t>
      </w:r>
    </w:p>
    <w:p w:rsidR="00A97587" w:rsidRPr="004E572C" w:rsidRDefault="00A97587" w:rsidP="004E572C">
      <w:pPr>
        <w:pStyle w:val="ListBullet"/>
        <w:numPr>
          <w:ilvl w:val="0"/>
          <w:numId w:val="17"/>
        </w:numPr>
        <w:jc w:val="both"/>
      </w:pPr>
      <w:r w:rsidRPr="004E572C">
        <w:t xml:space="preserve">Рекомендованные режимы лечения как лекарственно чувствительного, так и лекарственно устойчивого туберкулеза остаются одинаковыми вне зависимости от наличия или отсутствия у больных ВИЧ – инфекции </w:t>
      </w:r>
    </w:p>
    <w:p w:rsidR="00A97587" w:rsidRPr="004E572C" w:rsidRDefault="00A97587" w:rsidP="004E572C">
      <w:pPr>
        <w:pStyle w:val="ListBullet"/>
        <w:numPr>
          <w:ilvl w:val="0"/>
          <w:numId w:val="17"/>
        </w:numPr>
        <w:jc w:val="both"/>
      </w:pPr>
      <w:r w:rsidRPr="004E572C">
        <w:t>При назначении антиретровирсных препаратов необходимо учитывать их взаимодействие с рифампицином и рифабутином (табл. 5).</w:t>
      </w:r>
    </w:p>
    <w:p w:rsidR="00A97587" w:rsidRPr="004E572C" w:rsidRDefault="00A97587" w:rsidP="004E572C">
      <w:pPr>
        <w:pStyle w:val="ListBullet"/>
        <w:numPr>
          <w:ilvl w:val="0"/>
          <w:numId w:val="17"/>
        </w:numPr>
        <w:jc w:val="both"/>
      </w:pPr>
      <w:r w:rsidRPr="004E572C">
        <w:t xml:space="preserve">При высоком риске МЛУ по решению ЦВКК головной </w:t>
      </w:r>
      <w:r w:rsidRPr="004E572C">
        <w:rPr>
          <w:bCs/>
        </w:rPr>
        <w:t>медицинской противотуберкулезной организации субъекта РФ</w:t>
      </w:r>
      <w:r w:rsidRPr="004E572C">
        <w:t xml:space="preserve"> больному назначается </w:t>
      </w:r>
      <w:r w:rsidRPr="004E572C">
        <w:rPr>
          <w:lang w:val="en-US"/>
        </w:rPr>
        <w:t>IV</w:t>
      </w:r>
      <w:r w:rsidRPr="004E572C">
        <w:t xml:space="preserve"> режим химиотерапии до получения результатов ТЛЧ</w:t>
      </w:r>
    </w:p>
    <w:p w:rsidR="00A97587" w:rsidRPr="004E572C" w:rsidRDefault="00A97587" w:rsidP="004E572C">
      <w:pPr>
        <w:pStyle w:val="ListBullet"/>
        <w:numPr>
          <w:ilvl w:val="0"/>
          <w:numId w:val="17"/>
        </w:numPr>
        <w:jc w:val="both"/>
      </w:pPr>
      <w:r w:rsidRPr="004E572C">
        <w:t xml:space="preserve">Если на фоне противотуберкулезного лечения в течение 1 месяца по </w:t>
      </w:r>
      <w:r w:rsidRPr="004E572C">
        <w:rPr>
          <w:lang w:val="en-US"/>
        </w:rPr>
        <w:t>I</w:t>
      </w:r>
      <w:r w:rsidRPr="004E572C">
        <w:t xml:space="preserve"> режиму или режиму лечения с ЛУ, но не МЛУ, без применения антиретровирусной терапии (АРВТ), наблюдается отрицательная клинико-рентгенологическая динамика, необходимо повторить ТЛЧ ускоренным молекулярно-генетическим методом. </w:t>
      </w:r>
    </w:p>
    <w:p w:rsidR="00A97587" w:rsidRPr="004E572C" w:rsidRDefault="00A97587" w:rsidP="004E572C">
      <w:pPr>
        <w:pStyle w:val="ListBullet"/>
        <w:numPr>
          <w:ilvl w:val="0"/>
          <w:numId w:val="17"/>
        </w:numPr>
        <w:jc w:val="both"/>
      </w:pPr>
      <w:r w:rsidRPr="004E572C">
        <w:t xml:space="preserve">При прогрессировании туберкулеза в течение 1 месяца при лечении по </w:t>
      </w:r>
      <w:r w:rsidRPr="004E572C">
        <w:rPr>
          <w:lang w:val="en-US"/>
        </w:rPr>
        <w:t>I</w:t>
      </w:r>
      <w:r w:rsidRPr="004E572C">
        <w:t xml:space="preserve"> режиму химиотерапии по решению ЦВКК головной </w:t>
      </w:r>
      <w:r w:rsidRPr="004E572C">
        <w:rPr>
          <w:bCs/>
        </w:rPr>
        <w:t>медицинской противотуберкулезной организации субъекта РФ</w:t>
      </w:r>
      <w:r w:rsidRPr="004E572C">
        <w:t xml:space="preserve"> больной может быть переведен на </w:t>
      </w:r>
      <w:r w:rsidRPr="004E572C">
        <w:rPr>
          <w:lang w:val="en-US"/>
        </w:rPr>
        <w:t>IV</w:t>
      </w:r>
      <w:r w:rsidRPr="004E572C">
        <w:t xml:space="preserve"> режим химиотерапии до получения результатов ТЛЧ. </w:t>
      </w:r>
    </w:p>
    <w:p w:rsidR="00A97587" w:rsidRPr="00F5134B" w:rsidRDefault="00A97587" w:rsidP="004E572C">
      <w:pPr>
        <w:pStyle w:val="ListBullet"/>
        <w:numPr>
          <w:ilvl w:val="0"/>
          <w:numId w:val="17"/>
        </w:numPr>
        <w:jc w:val="both"/>
      </w:pPr>
      <w:r w:rsidRPr="00F5134B">
        <w:t>Отрицательная клинико-рентгенологическая динамика в первые три месяца АРВТ может быть связана с синдромом восстановления иммунной системы (СВИС). Для дифференциальной диагностики СВИС и МЛУ ТБ необходимо применение ускоренных молекулярно-генетических методов выявления ЛУ МБТ.</w:t>
      </w:r>
    </w:p>
    <w:p w:rsidR="00A97587" w:rsidRPr="004E572C" w:rsidRDefault="00A97587" w:rsidP="004E572C">
      <w:pPr>
        <w:pStyle w:val="ListBullet"/>
        <w:numPr>
          <w:ilvl w:val="0"/>
          <w:numId w:val="17"/>
        </w:numPr>
        <w:jc w:val="both"/>
      </w:pPr>
      <w:r w:rsidRPr="004E572C">
        <w:t>Противовирусная терапия назначается и контролируется врачом-инфекционистом в соответствии с рекомендациями Российского Национального научного общества инфекционистов и Всемирной Организации Здравоохранения.</w:t>
      </w:r>
    </w:p>
    <w:p w:rsidR="00A97587" w:rsidRPr="004E572C" w:rsidRDefault="00A97587" w:rsidP="004E572C">
      <w:pPr>
        <w:keepNext/>
        <w:tabs>
          <w:tab w:val="left" w:pos="567"/>
          <w:tab w:val="left" w:pos="993"/>
          <w:tab w:val="left" w:pos="9072"/>
        </w:tabs>
        <w:spacing w:after="120"/>
        <w:ind w:left="284" w:right="-5"/>
        <w:jc w:val="right"/>
        <w:rPr>
          <w:rFonts w:ascii="Times New Roman" w:hAnsi="Times New Roman"/>
          <w:b/>
          <w:sz w:val="24"/>
          <w:szCs w:val="24"/>
        </w:rPr>
      </w:pPr>
      <w:r w:rsidRPr="004E572C">
        <w:rPr>
          <w:rFonts w:ascii="Times New Roman" w:hAnsi="Times New Roman"/>
          <w:b/>
          <w:sz w:val="24"/>
          <w:szCs w:val="24"/>
        </w:rPr>
        <w:t>Таблица 9</w:t>
      </w:r>
    </w:p>
    <w:p w:rsidR="00A97587" w:rsidRPr="004E572C" w:rsidRDefault="00A97587" w:rsidP="004E572C">
      <w:pPr>
        <w:keepNext/>
        <w:autoSpaceDE w:val="0"/>
        <w:autoSpaceDN w:val="0"/>
        <w:adjustRightInd w:val="0"/>
        <w:ind w:firstLine="360"/>
        <w:jc w:val="both"/>
        <w:rPr>
          <w:rFonts w:ascii="Times New Roman" w:hAnsi="Times New Roman"/>
          <w:b/>
          <w:sz w:val="24"/>
          <w:szCs w:val="24"/>
        </w:rPr>
      </w:pPr>
      <w:r w:rsidRPr="004E572C">
        <w:rPr>
          <w:rFonts w:ascii="Times New Roman" w:hAnsi="Times New Roman"/>
          <w:b/>
          <w:sz w:val="24"/>
          <w:szCs w:val="24"/>
        </w:rPr>
        <w:t>Взаимодействие рифампицина, рифабутина (</w:t>
      </w:r>
      <w:r w:rsidRPr="004E572C">
        <w:rPr>
          <w:rFonts w:ascii="Times New Roman" w:hAnsi="Times New Roman"/>
          <w:b/>
          <w:sz w:val="24"/>
          <w:szCs w:val="24"/>
          <w:lang w:val="en-US"/>
        </w:rPr>
        <w:t>Rb</w:t>
      </w:r>
      <w:r w:rsidRPr="004E572C">
        <w:rPr>
          <w:rFonts w:ascii="Times New Roman" w:hAnsi="Times New Roman"/>
          <w:b/>
          <w:sz w:val="24"/>
          <w:szCs w:val="24"/>
        </w:rPr>
        <w:t>) и противовирусных препаратов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5"/>
        <w:gridCol w:w="3012"/>
        <w:gridCol w:w="4213"/>
      </w:tblGrid>
      <w:tr w:rsidR="00A97587" w:rsidRPr="004E572C" w:rsidTr="002C7D0F">
        <w:tc>
          <w:tcPr>
            <w:tcW w:w="2345" w:type="dxa"/>
            <w:vMerge w:val="restart"/>
          </w:tcPr>
          <w:p w:rsidR="00A97587" w:rsidRPr="004E572C" w:rsidRDefault="00A97587" w:rsidP="004E572C">
            <w:pPr>
              <w:pStyle w:val="a0"/>
              <w:jc w:val="both"/>
              <w:rPr>
                <w:b/>
              </w:rPr>
            </w:pPr>
            <w:r w:rsidRPr="004E572C">
              <w:rPr>
                <w:b/>
              </w:rPr>
              <w:t>Антиретровирусный препарат</w:t>
            </w:r>
          </w:p>
        </w:tc>
        <w:tc>
          <w:tcPr>
            <w:tcW w:w="7226" w:type="dxa"/>
            <w:gridSpan w:val="2"/>
          </w:tcPr>
          <w:p w:rsidR="00A97587" w:rsidRPr="004E572C" w:rsidRDefault="00A97587" w:rsidP="004E572C">
            <w:pPr>
              <w:pStyle w:val="a0"/>
              <w:jc w:val="both"/>
              <w:rPr>
                <w:b/>
              </w:rPr>
            </w:pPr>
            <w:r w:rsidRPr="004E572C">
              <w:rPr>
                <w:b/>
              </w:rPr>
              <w:t>Коррекция режима дозирования</w:t>
            </w:r>
          </w:p>
        </w:tc>
      </w:tr>
      <w:tr w:rsidR="00A97587" w:rsidRPr="004E572C" w:rsidTr="002C7D0F">
        <w:tc>
          <w:tcPr>
            <w:tcW w:w="0" w:type="auto"/>
            <w:vMerge/>
            <w:vAlign w:val="center"/>
          </w:tcPr>
          <w:p w:rsidR="00A97587" w:rsidRPr="004E572C" w:rsidRDefault="00A97587" w:rsidP="004E572C">
            <w:pPr>
              <w:pStyle w:val="a0"/>
              <w:jc w:val="both"/>
              <w:rPr>
                <w:b/>
              </w:rPr>
            </w:pPr>
          </w:p>
        </w:tc>
        <w:tc>
          <w:tcPr>
            <w:tcW w:w="3012" w:type="dxa"/>
          </w:tcPr>
          <w:p w:rsidR="00A97587" w:rsidRPr="004E572C" w:rsidRDefault="00A97587" w:rsidP="004E572C">
            <w:pPr>
              <w:pStyle w:val="a0"/>
              <w:jc w:val="both"/>
              <w:rPr>
                <w:b/>
              </w:rPr>
            </w:pPr>
            <w:r w:rsidRPr="004E572C">
              <w:rPr>
                <w:b/>
              </w:rPr>
              <w:t>Рифампицин</w:t>
            </w:r>
          </w:p>
        </w:tc>
        <w:tc>
          <w:tcPr>
            <w:tcW w:w="4214" w:type="dxa"/>
          </w:tcPr>
          <w:p w:rsidR="00A97587" w:rsidRPr="004E572C" w:rsidRDefault="00A97587" w:rsidP="004E572C">
            <w:pPr>
              <w:pStyle w:val="a0"/>
              <w:jc w:val="both"/>
              <w:rPr>
                <w:b/>
              </w:rPr>
            </w:pPr>
            <w:r w:rsidRPr="004E572C">
              <w:rPr>
                <w:b/>
              </w:rPr>
              <w:t>Рифабутин</w:t>
            </w:r>
          </w:p>
        </w:tc>
      </w:tr>
      <w:tr w:rsidR="00A97587" w:rsidRPr="004E572C" w:rsidTr="002C7D0F">
        <w:tc>
          <w:tcPr>
            <w:tcW w:w="2345" w:type="dxa"/>
          </w:tcPr>
          <w:p w:rsidR="00A97587" w:rsidRPr="004E572C" w:rsidRDefault="00A97587" w:rsidP="004E572C">
            <w:pPr>
              <w:pStyle w:val="a0"/>
              <w:jc w:val="both"/>
            </w:pPr>
            <w:r w:rsidRPr="004E572C">
              <w:t>Нуклеозидные ингибиторы обратной транскриптазы</w:t>
            </w:r>
          </w:p>
        </w:tc>
        <w:tc>
          <w:tcPr>
            <w:tcW w:w="3012" w:type="dxa"/>
          </w:tcPr>
          <w:p w:rsidR="00A97587" w:rsidRPr="004E572C" w:rsidRDefault="00A97587" w:rsidP="004E572C">
            <w:pPr>
              <w:pStyle w:val="a0"/>
              <w:jc w:val="both"/>
              <w:rPr>
                <w:szCs w:val="24"/>
                <w:lang w:eastAsia="ar-SA"/>
              </w:rPr>
            </w:pPr>
            <w:r w:rsidRPr="004E572C">
              <w:t>Стандартные дозы обоих препаратов</w:t>
            </w:r>
          </w:p>
        </w:tc>
        <w:tc>
          <w:tcPr>
            <w:tcW w:w="4214" w:type="dxa"/>
          </w:tcPr>
          <w:p w:rsidR="00A97587" w:rsidRPr="004E572C" w:rsidRDefault="00A97587" w:rsidP="004E572C">
            <w:pPr>
              <w:pStyle w:val="a0"/>
              <w:jc w:val="both"/>
              <w:rPr>
                <w:szCs w:val="24"/>
                <w:lang w:eastAsia="ar-SA"/>
              </w:rPr>
            </w:pPr>
            <w:r w:rsidRPr="004E572C">
              <w:t>Стандартные дозы обоих препаратов</w:t>
            </w:r>
          </w:p>
        </w:tc>
      </w:tr>
      <w:tr w:rsidR="00A97587" w:rsidRPr="004E572C" w:rsidTr="002C7D0F">
        <w:tc>
          <w:tcPr>
            <w:tcW w:w="2345" w:type="dxa"/>
          </w:tcPr>
          <w:p w:rsidR="00A97587" w:rsidRPr="004E572C" w:rsidRDefault="00A97587" w:rsidP="004E572C">
            <w:pPr>
              <w:pStyle w:val="a0"/>
              <w:jc w:val="both"/>
            </w:pPr>
            <w:r w:rsidRPr="004E572C">
              <w:t>Эфавиренз (</w:t>
            </w:r>
            <w:r w:rsidRPr="004E572C">
              <w:rPr>
                <w:lang w:val="en-US"/>
              </w:rPr>
              <w:t>EFV</w:t>
            </w:r>
            <w:r w:rsidRPr="004E572C">
              <w:t>)</w:t>
            </w:r>
          </w:p>
        </w:tc>
        <w:tc>
          <w:tcPr>
            <w:tcW w:w="3012" w:type="dxa"/>
          </w:tcPr>
          <w:p w:rsidR="00A97587" w:rsidRPr="004E572C" w:rsidRDefault="00A97587" w:rsidP="004E572C">
            <w:pPr>
              <w:pStyle w:val="a0"/>
              <w:jc w:val="both"/>
            </w:pPr>
            <w:r w:rsidRPr="004E572C">
              <w:rPr>
                <w:lang w:val="en-US"/>
              </w:rPr>
              <w:t>R</w:t>
            </w:r>
            <w:r w:rsidRPr="004E572C">
              <w:t xml:space="preserve"> – в стандартной дозе; </w:t>
            </w:r>
          </w:p>
          <w:p w:rsidR="00A97587" w:rsidRPr="004E572C" w:rsidRDefault="00A97587" w:rsidP="004E572C">
            <w:pPr>
              <w:pStyle w:val="a0"/>
              <w:jc w:val="both"/>
            </w:pPr>
            <w:r w:rsidRPr="004E572C">
              <w:rPr>
                <w:lang w:val="en-US"/>
              </w:rPr>
              <w:t>EFV</w:t>
            </w:r>
            <w:r w:rsidRPr="004E572C">
              <w:t xml:space="preserve"> – </w:t>
            </w:r>
            <w:r w:rsidRPr="004E572C">
              <w:rPr>
                <w:sz w:val="23"/>
                <w:szCs w:val="23"/>
              </w:rPr>
              <w:t>800 в сутки при массе тела 60 кг и более</w:t>
            </w:r>
          </w:p>
        </w:tc>
        <w:tc>
          <w:tcPr>
            <w:tcW w:w="4214" w:type="dxa"/>
          </w:tcPr>
          <w:p w:rsidR="00A97587" w:rsidRPr="004E572C" w:rsidRDefault="00A97587" w:rsidP="004E572C">
            <w:pPr>
              <w:pStyle w:val="a0"/>
              <w:jc w:val="both"/>
            </w:pPr>
            <w:r w:rsidRPr="004E572C">
              <w:rPr>
                <w:lang w:val="en-US"/>
              </w:rPr>
              <w:t>EFV</w:t>
            </w:r>
            <w:r w:rsidRPr="004E572C">
              <w:t xml:space="preserve"> - в стандартной дозе; </w:t>
            </w:r>
            <w:r w:rsidRPr="004E572C">
              <w:rPr>
                <w:lang w:val="en-US"/>
              </w:rPr>
              <w:t>Rb</w:t>
            </w:r>
            <w:r w:rsidRPr="004E572C">
              <w:t xml:space="preserve"> – 450 мг/сут. или 600 мг 3 раза в неделю.</w:t>
            </w:r>
          </w:p>
        </w:tc>
      </w:tr>
      <w:tr w:rsidR="00A97587" w:rsidRPr="004E572C" w:rsidTr="002C7D0F">
        <w:tc>
          <w:tcPr>
            <w:tcW w:w="2345" w:type="dxa"/>
          </w:tcPr>
          <w:p w:rsidR="00A97587" w:rsidRPr="004E572C" w:rsidRDefault="00A97587" w:rsidP="004E572C">
            <w:pPr>
              <w:pStyle w:val="a0"/>
              <w:jc w:val="both"/>
            </w:pPr>
            <w:r w:rsidRPr="004E572C">
              <w:t>Этравирин (</w:t>
            </w:r>
            <w:r w:rsidRPr="004E572C">
              <w:rPr>
                <w:lang w:val="en-US"/>
              </w:rPr>
              <w:t>ETR</w:t>
            </w:r>
            <w:r w:rsidRPr="004E572C">
              <w:t>)</w:t>
            </w:r>
          </w:p>
        </w:tc>
        <w:tc>
          <w:tcPr>
            <w:tcW w:w="3012" w:type="dxa"/>
          </w:tcPr>
          <w:p w:rsidR="00A97587" w:rsidRPr="004E572C" w:rsidRDefault="00A97587" w:rsidP="004E572C">
            <w:pPr>
              <w:pStyle w:val="a0"/>
              <w:jc w:val="both"/>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t xml:space="preserve">Если </w:t>
            </w:r>
            <w:r w:rsidRPr="004E572C">
              <w:rPr>
                <w:lang w:val="en-US"/>
              </w:rPr>
              <w:t>ETR</w:t>
            </w:r>
            <w:r w:rsidRPr="004E572C">
              <w:t xml:space="preserve"> не применяется вместе с усиленным ИП, то доза </w:t>
            </w:r>
            <w:r w:rsidRPr="004E572C">
              <w:rPr>
                <w:lang w:val="en-US"/>
              </w:rPr>
              <w:t>Rb</w:t>
            </w:r>
            <w:r w:rsidRPr="004E572C">
              <w:t xml:space="preserve"> – 300 мг/сут. Ели </w:t>
            </w:r>
            <w:r w:rsidRPr="004E572C">
              <w:rPr>
                <w:lang w:val="en-US"/>
              </w:rPr>
              <w:t>ETR</w:t>
            </w:r>
            <w:r w:rsidRPr="004E572C">
              <w:t xml:space="preserve"> применяется вместе с </w:t>
            </w:r>
            <w:r w:rsidRPr="004E572C">
              <w:rPr>
                <w:lang w:val="en-US"/>
              </w:rPr>
              <w:t>LPV</w:t>
            </w:r>
            <w:r w:rsidRPr="004E572C">
              <w:t>/</w:t>
            </w:r>
            <w:r w:rsidRPr="004E572C">
              <w:rPr>
                <w:lang w:val="en-US"/>
              </w:rPr>
              <w:t>r</w:t>
            </w:r>
            <w:r w:rsidRPr="004E572C">
              <w:t xml:space="preserve">, то доза </w:t>
            </w:r>
            <w:r w:rsidRPr="004E572C">
              <w:rPr>
                <w:lang w:val="en-US"/>
              </w:rPr>
              <w:t>Rb</w:t>
            </w:r>
            <w:r w:rsidRPr="004E572C">
              <w:t xml:space="preserve"> – 150 мг/сут. или 3 раза в неделю.</w:t>
            </w:r>
          </w:p>
        </w:tc>
      </w:tr>
      <w:tr w:rsidR="00A97587" w:rsidRPr="004E572C" w:rsidTr="002C7D0F">
        <w:tc>
          <w:tcPr>
            <w:tcW w:w="2345" w:type="dxa"/>
          </w:tcPr>
          <w:p w:rsidR="00A97587" w:rsidRPr="004E572C" w:rsidRDefault="00A97587" w:rsidP="004E572C">
            <w:pPr>
              <w:pStyle w:val="a0"/>
              <w:jc w:val="both"/>
            </w:pPr>
            <w:r w:rsidRPr="004E572C">
              <w:t>Фозампренавир (</w:t>
            </w:r>
            <w:r w:rsidRPr="004E572C">
              <w:rPr>
                <w:lang w:val="en-US"/>
              </w:rPr>
              <w:t>FPV</w:t>
            </w:r>
            <w:r w:rsidRPr="004E572C">
              <w:t>)</w:t>
            </w:r>
          </w:p>
        </w:tc>
        <w:tc>
          <w:tcPr>
            <w:tcW w:w="3012" w:type="dxa"/>
          </w:tcPr>
          <w:p w:rsidR="00A97587" w:rsidRPr="004E572C" w:rsidRDefault="00A97587" w:rsidP="004E572C">
            <w:pPr>
              <w:pStyle w:val="a0"/>
              <w:jc w:val="both"/>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rPr>
                <w:lang w:val="en-US"/>
              </w:rPr>
              <w:t>FPV</w:t>
            </w:r>
            <w:r w:rsidRPr="004E572C">
              <w:t xml:space="preserve"> - в стандартной дозе; </w:t>
            </w:r>
            <w:r w:rsidRPr="004E572C">
              <w:rPr>
                <w:lang w:val="en-US"/>
              </w:rPr>
              <w:t>Rb</w:t>
            </w:r>
            <w:r w:rsidRPr="004E572C">
              <w:t xml:space="preserve"> – 150 мг/сут. или 300 мг 3 раза в неделю.</w:t>
            </w:r>
          </w:p>
        </w:tc>
      </w:tr>
      <w:tr w:rsidR="00A97587" w:rsidRPr="004E572C" w:rsidTr="002C7D0F">
        <w:tc>
          <w:tcPr>
            <w:tcW w:w="2345" w:type="dxa"/>
          </w:tcPr>
          <w:p w:rsidR="00A97587" w:rsidRPr="004E572C" w:rsidRDefault="00A97587" w:rsidP="004E572C">
            <w:pPr>
              <w:pStyle w:val="a0"/>
              <w:jc w:val="both"/>
            </w:pPr>
            <w:r w:rsidRPr="004E572C">
              <w:t>Индинавир (</w:t>
            </w:r>
            <w:r w:rsidRPr="004E572C">
              <w:rPr>
                <w:lang w:val="en-US"/>
              </w:rPr>
              <w:t>IDV</w:t>
            </w:r>
            <w:r w:rsidRPr="004E572C">
              <w:t>)</w:t>
            </w:r>
          </w:p>
        </w:tc>
        <w:tc>
          <w:tcPr>
            <w:tcW w:w="3012" w:type="dxa"/>
          </w:tcPr>
          <w:p w:rsidR="00A97587" w:rsidRPr="004E572C" w:rsidRDefault="00A97587" w:rsidP="004E572C">
            <w:pPr>
              <w:pStyle w:val="a0"/>
              <w:jc w:val="both"/>
              <w:rPr>
                <w:szCs w:val="24"/>
                <w:lang w:eastAsia="ar-SA"/>
              </w:rPr>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rPr>
                <w:lang w:val="en-US"/>
              </w:rPr>
              <w:t>IDV</w:t>
            </w:r>
            <w:r w:rsidRPr="004E572C">
              <w:t xml:space="preserve"> – 1000 мг каждые 8 часов; </w:t>
            </w:r>
            <w:r w:rsidRPr="004E572C">
              <w:rPr>
                <w:lang w:val="en-US"/>
              </w:rPr>
              <w:t>Rb</w:t>
            </w:r>
            <w:r w:rsidRPr="004E572C">
              <w:t xml:space="preserve"> – 150 мг/сут. или 300 мг 3 раза в неделю.</w:t>
            </w:r>
          </w:p>
        </w:tc>
      </w:tr>
      <w:tr w:rsidR="00A97587" w:rsidRPr="004E572C" w:rsidTr="002C7D0F">
        <w:tc>
          <w:tcPr>
            <w:tcW w:w="2345" w:type="dxa"/>
          </w:tcPr>
          <w:p w:rsidR="00A97587" w:rsidRPr="004E572C" w:rsidRDefault="00A97587" w:rsidP="004E572C">
            <w:pPr>
              <w:pStyle w:val="a0"/>
              <w:jc w:val="both"/>
            </w:pPr>
            <w:r w:rsidRPr="004E572C">
              <w:t>Невирапин (</w:t>
            </w:r>
            <w:r w:rsidRPr="004E572C">
              <w:rPr>
                <w:lang w:val="en-US"/>
              </w:rPr>
              <w:t>NVP</w:t>
            </w:r>
            <w:r w:rsidRPr="004E572C">
              <w:t>)</w:t>
            </w:r>
          </w:p>
        </w:tc>
        <w:tc>
          <w:tcPr>
            <w:tcW w:w="3012" w:type="dxa"/>
          </w:tcPr>
          <w:p w:rsidR="00A97587" w:rsidRPr="004E572C" w:rsidRDefault="00A97587" w:rsidP="004E572C">
            <w:pPr>
              <w:pStyle w:val="a0"/>
              <w:jc w:val="both"/>
              <w:rPr>
                <w:szCs w:val="24"/>
                <w:lang w:eastAsia="ar-SA"/>
              </w:rPr>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rPr>
                <w:lang w:val="en-US"/>
              </w:rPr>
              <w:t>NVP</w:t>
            </w:r>
            <w:r w:rsidRPr="004E572C">
              <w:t xml:space="preserve"> – 200 мг 2 раза в сутки; </w:t>
            </w:r>
            <w:r w:rsidRPr="004E572C">
              <w:rPr>
                <w:lang w:val="en-US"/>
              </w:rPr>
              <w:t>Rb</w:t>
            </w:r>
            <w:r w:rsidRPr="004E572C">
              <w:t xml:space="preserve"> – 300 мг/сут. или 300 мг 3 раза в неделю.</w:t>
            </w:r>
          </w:p>
        </w:tc>
      </w:tr>
      <w:tr w:rsidR="00A97587" w:rsidRPr="004E572C" w:rsidTr="002C7D0F">
        <w:tc>
          <w:tcPr>
            <w:tcW w:w="2345" w:type="dxa"/>
          </w:tcPr>
          <w:p w:rsidR="00A97587" w:rsidRPr="004E572C" w:rsidRDefault="00A97587" w:rsidP="004E572C">
            <w:pPr>
              <w:pStyle w:val="a0"/>
              <w:jc w:val="both"/>
            </w:pPr>
            <w:r w:rsidRPr="004E572C">
              <w:t>Нелфинавир (</w:t>
            </w:r>
            <w:r w:rsidRPr="004E572C">
              <w:rPr>
                <w:lang w:val="en-US"/>
              </w:rPr>
              <w:t>NFV</w:t>
            </w:r>
            <w:r w:rsidRPr="004E572C">
              <w:t>)</w:t>
            </w:r>
          </w:p>
        </w:tc>
        <w:tc>
          <w:tcPr>
            <w:tcW w:w="3012" w:type="dxa"/>
          </w:tcPr>
          <w:p w:rsidR="00A97587" w:rsidRPr="004E572C" w:rsidRDefault="00A97587" w:rsidP="004E572C">
            <w:pPr>
              <w:pStyle w:val="a0"/>
              <w:jc w:val="both"/>
              <w:rPr>
                <w:szCs w:val="24"/>
                <w:lang w:eastAsia="ar-SA"/>
              </w:rPr>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rPr>
                <w:lang w:val="en-US"/>
              </w:rPr>
              <w:t>NFV</w:t>
            </w:r>
            <w:r w:rsidRPr="004E572C">
              <w:t xml:space="preserve"> - 1000 мг 3 раза в сутки; </w:t>
            </w:r>
            <w:r w:rsidRPr="004E572C">
              <w:rPr>
                <w:lang w:val="en-US"/>
              </w:rPr>
              <w:t>Rb</w:t>
            </w:r>
            <w:r w:rsidRPr="004E572C">
              <w:t xml:space="preserve"> – 150 мг/сут. или 300 мг 3 раза в неделю.</w:t>
            </w:r>
          </w:p>
        </w:tc>
      </w:tr>
      <w:tr w:rsidR="00A97587" w:rsidRPr="004E572C" w:rsidTr="002C7D0F">
        <w:tc>
          <w:tcPr>
            <w:tcW w:w="2345" w:type="dxa"/>
          </w:tcPr>
          <w:p w:rsidR="00A97587" w:rsidRPr="004E572C" w:rsidRDefault="00A97587" w:rsidP="004E572C">
            <w:pPr>
              <w:pStyle w:val="a0"/>
              <w:jc w:val="both"/>
            </w:pPr>
            <w:r w:rsidRPr="004E572C">
              <w:t xml:space="preserve">Саквинавир (Инвираза </w:t>
            </w:r>
            <w:r w:rsidRPr="004E572C">
              <w:rPr>
                <w:lang w:val="en-US"/>
              </w:rPr>
              <w:t>SQV</w:t>
            </w:r>
            <w:r w:rsidRPr="004E572C">
              <w:t>)</w:t>
            </w:r>
          </w:p>
        </w:tc>
        <w:tc>
          <w:tcPr>
            <w:tcW w:w="3012" w:type="dxa"/>
          </w:tcPr>
          <w:p w:rsidR="00A97587" w:rsidRPr="004E572C" w:rsidRDefault="00A97587" w:rsidP="004E572C">
            <w:pPr>
              <w:pStyle w:val="a0"/>
              <w:jc w:val="both"/>
              <w:rPr>
                <w:szCs w:val="24"/>
                <w:lang w:eastAsia="ar-SA"/>
              </w:rPr>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t>Не рекомендуется без усиления ритонавириом</w:t>
            </w:r>
          </w:p>
        </w:tc>
      </w:tr>
      <w:tr w:rsidR="00A97587" w:rsidRPr="004E572C" w:rsidTr="002C7D0F">
        <w:tc>
          <w:tcPr>
            <w:tcW w:w="2345" w:type="dxa"/>
          </w:tcPr>
          <w:p w:rsidR="00A97587" w:rsidRPr="004E572C" w:rsidRDefault="00A97587" w:rsidP="004E572C">
            <w:pPr>
              <w:pStyle w:val="a0"/>
              <w:jc w:val="both"/>
              <w:rPr>
                <w:lang w:val="en-US"/>
              </w:rPr>
            </w:pPr>
            <w:r w:rsidRPr="004E572C">
              <w:t>Лопинавир/Ритонавир (</w:t>
            </w:r>
            <w:r w:rsidRPr="004E572C">
              <w:rPr>
                <w:lang w:val="en-US"/>
              </w:rPr>
              <w:t>LPV/r)</w:t>
            </w:r>
          </w:p>
        </w:tc>
        <w:tc>
          <w:tcPr>
            <w:tcW w:w="3012" w:type="dxa"/>
          </w:tcPr>
          <w:p w:rsidR="00A97587" w:rsidRPr="004E572C" w:rsidRDefault="00A97587" w:rsidP="004E572C">
            <w:pPr>
              <w:pStyle w:val="a0"/>
              <w:jc w:val="both"/>
              <w:rPr>
                <w:szCs w:val="24"/>
                <w:lang w:eastAsia="ar-SA"/>
              </w:rPr>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rPr>
                <w:lang w:val="en-US"/>
              </w:rPr>
              <w:t>LPV</w:t>
            </w:r>
            <w:r w:rsidRPr="004E572C">
              <w:t>/</w:t>
            </w:r>
            <w:r w:rsidRPr="004E572C">
              <w:rPr>
                <w:lang w:val="en-US"/>
              </w:rPr>
              <w:t>r</w:t>
            </w:r>
            <w:r w:rsidRPr="004E572C">
              <w:t xml:space="preserve"> – в стандартной дозе; </w:t>
            </w:r>
            <w:r w:rsidRPr="004E572C">
              <w:rPr>
                <w:lang w:val="en-US"/>
              </w:rPr>
              <w:t>Rb</w:t>
            </w:r>
            <w:r w:rsidRPr="004E572C">
              <w:t xml:space="preserve"> – 150 мг через день или 3 раза в неделю.</w:t>
            </w:r>
          </w:p>
        </w:tc>
      </w:tr>
      <w:tr w:rsidR="00A97587" w:rsidRPr="004E572C" w:rsidTr="002C7D0F">
        <w:tc>
          <w:tcPr>
            <w:tcW w:w="2345" w:type="dxa"/>
          </w:tcPr>
          <w:p w:rsidR="00A97587" w:rsidRPr="004E572C" w:rsidRDefault="00A97587" w:rsidP="004E572C">
            <w:pPr>
              <w:pStyle w:val="a0"/>
              <w:jc w:val="both"/>
            </w:pPr>
            <w:r w:rsidRPr="004E572C">
              <w:t>Атазанавир (</w:t>
            </w:r>
            <w:r w:rsidRPr="004E572C">
              <w:rPr>
                <w:lang w:val="en-US"/>
              </w:rPr>
              <w:t>ATV</w:t>
            </w:r>
            <w:r w:rsidRPr="004E572C">
              <w:t>)</w:t>
            </w:r>
          </w:p>
        </w:tc>
        <w:tc>
          <w:tcPr>
            <w:tcW w:w="3012" w:type="dxa"/>
          </w:tcPr>
          <w:p w:rsidR="00A97587" w:rsidRPr="004E572C" w:rsidRDefault="00A97587" w:rsidP="004E572C">
            <w:pPr>
              <w:pStyle w:val="a0"/>
              <w:jc w:val="both"/>
              <w:rPr>
                <w:szCs w:val="24"/>
                <w:lang w:eastAsia="ar-SA"/>
              </w:rPr>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rPr>
                <w:lang w:val="en-US"/>
              </w:rPr>
              <w:t>ATV</w:t>
            </w:r>
            <w:r w:rsidRPr="004E572C">
              <w:t xml:space="preserve"> - в стандартной дозе; </w:t>
            </w:r>
            <w:r w:rsidRPr="004E572C">
              <w:rPr>
                <w:lang w:val="en-US"/>
              </w:rPr>
              <w:t>Rb</w:t>
            </w:r>
            <w:r w:rsidRPr="004E572C">
              <w:t xml:space="preserve"> – 150 мг через день или 3 раза в неделю.</w:t>
            </w:r>
          </w:p>
        </w:tc>
      </w:tr>
      <w:tr w:rsidR="00A97587" w:rsidRPr="004E572C" w:rsidTr="002C7D0F">
        <w:tc>
          <w:tcPr>
            <w:tcW w:w="2345" w:type="dxa"/>
          </w:tcPr>
          <w:p w:rsidR="00A97587" w:rsidRPr="004E572C" w:rsidRDefault="00A97587" w:rsidP="004E572C">
            <w:pPr>
              <w:pStyle w:val="a0"/>
              <w:jc w:val="both"/>
            </w:pPr>
            <w:r w:rsidRPr="004E572C">
              <w:t>Схемы ингибиторов протеаз с усилением ритонавиром</w:t>
            </w:r>
          </w:p>
        </w:tc>
        <w:tc>
          <w:tcPr>
            <w:tcW w:w="3012" w:type="dxa"/>
          </w:tcPr>
          <w:p w:rsidR="00A97587" w:rsidRPr="004E572C" w:rsidRDefault="00A97587" w:rsidP="004E572C">
            <w:pPr>
              <w:pStyle w:val="a0"/>
              <w:jc w:val="both"/>
            </w:pPr>
            <w:r w:rsidRPr="004E572C">
              <w:rPr>
                <w:lang w:val="en-US"/>
              </w:rPr>
              <w:t>R</w:t>
            </w:r>
            <w:r w:rsidRPr="004E572C">
              <w:t xml:space="preserve"> – не используется</w:t>
            </w:r>
          </w:p>
        </w:tc>
        <w:tc>
          <w:tcPr>
            <w:tcW w:w="4214" w:type="dxa"/>
          </w:tcPr>
          <w:p w:rsidR="00A97587" w:rsidRPr="004E572C" w:rsidRDefault="00A97587" w:rsidP="004E572C">
            <w:pPr>
              <w:pStyle w:val="a0"/>
              <w:jc w:val="both"/>
            </w:pPr>
            <w:r w:rsidRPr="004E572C">
              <w:t xml:space="preserve"> ИП в стандартной дозе; </w:t>
            </w:r>
            <w:r w:rsidRPr="004E572C">
              <w:rPr>
                <w:lang w:val="en-US"/>
              </w:rPr>
              <w:t>Rb</w:t>
            </w:r>
            <w:r w:rsidRPr="004E572C">
              <w:t xml:space="preserve"> – 150 мг через день или 3 раза в неделю.</w:t>
            </w:r>
          </w:p>
        </w:tc>
      </w:tr>
      <w:tr w:rsidR="00A97587" w:rsidRPr="004E572C" w:rsidTr="002C7D0F">
        <w:tc>
          <w:tcPr>
            <w:tcW w:w="2345" w:type="dxa"/>
          </w:tcPr>
          <w:p w:rsidR="00A97587" w:rsidRPr="004E572C" w:rsidRDefault="00A97587" w:rsidP="004E572C">
            <w:pPr>
              <w:pStyle w:val="a0"/>
              <w:jc w:val="both"/>
            </w:pPr>
            <w:r w:rsidRPr="004E572C">
              <w:t>Ралтегравир (</w:t>
            </w:r>
            <w:r w:rsidRPr="004E572C">
              <w:rPr>
                <w:lang w:val="en-US"/>
              </w:rPr>
              <w:t>RAL</w:t>
            </w:r>
            <w:r w:rsidRPr="004E572C">
              <w:t>)</w:t>
            </w:r>
          </w:p>
        </w:tc>
        <w:tc>
          <w:tcPr>
            <w:tcW w:w="3012" w:type="dxa"/>
          </w:tcPr>
          <w:p w:rsidR="00A97587" w:rsidRPr="004E572C" w:rsidRDefault="00A97587" w:rsidP="004E572C">
            <w:pPr>
              <w:pStyle w:val="a0"/>
              <w:jc w:val="both"/>
            </w:pPr>
            <w:r w:rsidRPr="004E572C">
              <w:rPr>
                <w:lang w:val="en-US"/>
              </w:rPr>
              <w:t>R</w:t>
            </w:r>
            <w:r w:rsidRPr="004E572C">
              <w:t xml:space="preserve"> – в стандартной дозе; </w:t>
            </w:r>
          </w:p>
          <w:p w:rsidR="00A97587" w:rsidRPr="004E572C" w:rsidRDefault="00A97587" w:rsidP="004E572C">
            <w:pPr>
              <w:pStyle w:val="a0"/>
              <w:jc w:val="both"/>
            </w:pPr>
            <w:r w:rsidRPr="004E572C">
              <w:rPr>
                <w:lang w:val="en-US"/>
              </w:rPr>
              <w:t>RAL</w:t>
            </w:r>
            <w:r w:rsidRPr="004E572C">
              <w:rPr>
                <w:color w:val="FF0000"/>
                <w:sz w:val="23"/>
                <w:szCs w:val="23"/>
              </w:rPr>
              <w:t xml:space="preserve"> </w:t>
            </w:r>
            <w:r w:rsidRPr="004E572C">
              <w:rPr>
                <w:sz w:val="23"/>
                <w:szCs w:val="23"/>
              </w:rPr>
              <w:t>- 800 мг 2 раза в сутки</w:t>
            </w:r>
          </w:p>
        </w:tc>
        <w:tc>
          <w:tcPr>
            <w:tcW w:w="4214" w:type="dxa"/>
          </w:tcPr>
          <w:p w:rsidR="00A97587" w:rsidRPr="004E572C" w:rsidRDefault="00A97587" w:rsidP="004E572C">
            <w:pPr>
              <w:pStyle w:val="a0"/>
              <w:jc w:val="both"/>
            </w:pPr>
            <w:r w:rsidRPr="004E572C">
              <w:t>Стандартные дозы обоих препаратов</w:t>
            </w:r>
          </w:p>
        </w:tc>
      </w:tr>
      <w:tr w:rsidR="00A97587" w:rsidRPr="004E572C" w:rsidTr="002C7D0F">
        <w:tc>
          <w:tcPr>
            <w:tcW w:w="2345" w:type="dxa"/>
          </w:tcPr>
          <w:p w:rsidR="00A97587" w:rsidRPr="004E572C" w:rsidRDefault="00A97587" w:rsidP="004E572C">
            <w:pPr>
              <w:pStyle w:val="a0"/>
              <w:jc w:val="both"/>
            </w:pPr>
            <w:r w:rsidRPr="004E572C">
              <w:t>Энфувиртид (Т-20)</w:t>
            </w:r>
          </w:p>
        </w:tc>
        <w:tc>
          <w:tcPr>
            <w:tcW w:w="3012" w:type="dxa"/>
          </w:tcPr>
          <w:p w:rsidR="00A97587" w:rsidRPr="004E572C" w:rsidRDefault="00A97587" w:rsidP="004E572C">
            <w:pPr>
              <w:pStyle w:val="a0"/>
              <w:jc w:val="both"/>
            </w:pPr>
            <w:r w:rsidRPr="004E572C">
              <w:t>Стандартные дозы обоих препаратов</w:t>
            </w:r>
          </w:p>
        </w:tc>
        <w:tc>
          <w:tcPr>
            <w:tcW w:w="4214" w:type="dxa"/>
          </w:tcPr>
          <w:p w:rsidR="00A97587" w:rsidRPr="004E572C" w:rsidRDefault="00A97587" w:rsidP="004E572C">
            <w:pPr>
              <w:pStyle w:val="a0"/>
              <w:jc w:val="both"/>
            </w:pPr>
            <w:r w:rsidRPr="004E572C">
              <w:t>Стандартные дозы обоих препаратов</w:t>
            </w:r>
          </w:p>
        </w:tc>
      </w:tr>
      <w:tr w:rsidR="00A97587" w:rsidRPr="004E572C" w:rsidTr="002C7D0F">
        <w:tc>
          <w:tcPr>
            <w:tcW w:w="2345" w:type="dxa"/>
          </w:tcPr>
          <w:p w:rsidR="00A97587" w:rsidRPr="004E572C" w:rsidRDefault="00A97587" w:rsidP="004E572C">
            <w:pPr>
              <w:pStyle w:val="a0"/>
              <w:jc w:val="both"/>
            </w:pPr>
            <w:r w:rsidRPr="004E572C">
              <w:t>Маравирок (</w:t>
            </w:r>
            <w:r w:rsidRPr="004E572C">
              <w:rPr>
                <w:lang w:val="en-US"/>
              </w:rPr>
              <w:t>MVC</w:t>
            </w:r>
            <w:r w:rsidRPr="004E572C">
              <w:t>)</w:t>
            </w:r>
          </w:p>
        </w:tc>
        <w:tc>
          <w:tcPr>
            <w:tcW w:w="3012" w:type="dxa"/>
          </w:tcPr>
          <w:p w:rsidR="00A97587" w:rsidRPr="004E572C" w:rsidRDefault="00A97587" w:rsidP="004E572C">
            <w:pPr>
              <w:pStyle w:val="a0"/>
              <w:jc w:val="both"/>
            </w:pPr>
            <w:r w:rsidRPr="004E572C">
              <w:rPr>
                <w:lang w:val="en-US"/>
              </w:rPr>
              <w:t>R</w:t>
            </w:r>
            <w:r w:rsidRPr="004E572C">
              <w:t xml:space="preserve"> – в стандартной дозе; </w:t>
            </w:r>
          </w:p>
          <w:p w:rsidR="00A97587" w:rsidRPr="004E572C" w:rsidRDefault="00A97587" w:rsidP="004E572C">
            <w:pPr>
              <w:pStyle w:val="a0"/>
              <w:jc w:val="both"/>
            </w:pPr>
            <w:r w:rsidRPr="004E572C">
              <w:rPr>
                <w:lang w:val="en-US"/>
              </w:rPr>
              <w:t>MVC</w:t>
            </w:r>
            <w:r w:rsidRPr="004E572C">
              <w:t xml:space="preserve"> – 600 мг 2 раза в сутки</w:t>
            </w:r>
          </w:p>
        </w:tc>
        <w:tc>
          <w:tcPr>
            <w:tcW w:w="4214" w:type="dxa"/>
          </w:tcPr>
          <w:p w:rsidR="00A97587" w:rsidRPr="004E572C" w:rsidRDefault="00A97587" w:rsidP="004E572C">
            <w:pPr>
              <w:pStyle w:val="a0"/>
              <w:jc w:val="both"/>
            </w:pPr>
            <w:r w:rsidRPr="004E572C">
              <w:t>Стандартные дозы обоих препаратов</w:t>
            </w:r>
          </w:p>
        </w:tc>
      </w:tr>
    </w:tbl>
    <w:p w:rsidR="00A97587" w:rsidRPr="004E572C" w:rsidRDefault="00A97587" w:rsidP="004E572C">
      <w:pPr>
        <w:ind w:firstLine="360"/>
        <w:jc w:val="both"/>
        <w:rPr>
          <w:rFonts w:ascii="Times New Roman" w:hAnsi="Times New Roman"/>
          <w:b/>
          <w:sz w:val="24"/>
          <w:szCs w:val="24"/>
        </w:rPr>
      </w:pPr>
      <w:r w:rsidRPr="004E572C">
        <w:rPr>
          <w:rFonts w:ascii="Times New Roman" w:hAnsi="Times New Roman"/>
          <w:b/>
          <w:i/>
          <w:sz w:val="24"/>
          <w:szCs w:val="24"/>
        </w:rPr>
        <w:t xml:space="preserve">Антиретровирусная терапия рекомендуется ВИЧ-инфицированным больным с  ЛУ-туберкулезом, нуждающимся в лечении препаратами второго ряда, вне зависимости от количества CD4+ клеток. Антиретровирусную терапию рекомендуется начинать как можно раньше  после начала противотуберкулезной терапии ( в первые 8 недель). </w:t>
      </w:r>
    </w:p>
    <w:p w:rsidR="00A97587" w:rsidRPr="004E572C" w:rsidRDefault="00A97587" w:rsidP="004E572C">
      <w:pPr>
        <w:pStyle w:val="BodyText"/>
        <w:rPr>
          <w:rFonts w:cs="Times New Roman"/>
          <w:lang w:val="ru-RU"/>
        </w:rPr>
      </w:pPr>
      <w:r w:rsidRPr="004E572C">
        <w:rPr>
          <w:rFonts w:cs="Times New Roman"/>
          <w:b/>
          <w:lang w:val="ru-RU"/>
        </w:rPr>
        <w:t xml:space="preserve">Казеозная пневмония, милиарный туберкулез, туберкулезный менингоэнцефалит </w:t>
      </w:r>
      <w:r w:rsidRPr="004E572C">
        <w:rPr>
          <w:rFonts w:cs="Times New Roman"/>
          <w:lang w:val="ru-RU"/>
        </w:rPr>
        <w:t xml:space="preserve">являются показаниями для применения ускоренного молекулярно-генетического метода определения ЛЧ МБТ в сроки не более 48 ч. По решению ВК к </w:t>
      </w:r>
      <w:r w:rsidRPr="004E572C">
        <w:rPr>
          <w:rFonts w:cs="Times New Roman"/>
        </w:rPr>
        <w:t>I</w:t>
      </w:r>
      <w:r w:rsidRPr="004E572C">
        <w:rPr>
          <w:rFonts w:cs="Times New Roman"/>
          <w:lang w:val="ru-RU"/>
        </w:rPr>
        <w:t xml:space="preserve"> режиму химиотерапии в интенсивной фазе лечения может быть  присоединен канамицин или амикацин. В интенсивной фазе противотуберкулезные препараты вводятся преимущественно парентерально. </w:t>
      </w:r>
    </w:p>
    <w:p w:rsidR="00A97587" w:rsidRPr="004E572C" w:rsidRDefault="00A97587" w:rsidP="004E572C">
      <w:pPr>
        <w:ind w:firstLine="360"/>
        <w:jc w:val="both"/>
        <w:rPr>
          <w:rFonts w:ascii="Times New Roman" w:hAnsi="Times New Roman"/>
          <w:sz w:val="24"/>
          <w:szCs w:val="24"/>
        </w:rPr>
      </w:pPr>
      <w:r w:rsidRPr="004E572C">
        <w:rPr>
          <w:rFonts w:ascii="Times New Roman" w:hAnsi="Times New Roman"/>
          <w:sz w:val="24"/>
          <w:szCs w:val="24"/>
        </w:rPr>
        <w:t xml:space="preserve">По решению ВК по жизненным показаниям  может быть назначен </w:t>
      </w:r>
      <w:r w:rsidRPr="004E572C">
        <w:rPr>
          <w:rFonts w:ascii="Times New Roman" w:hAnsi="Times New Roman"/>
          <w:sz w:val="24"/>
          <w:szCs w:val="24"/>
          <w:lang w:val="en-US"/>
        </w:rPr>
        <w:t>III</w:t>
      </w:r>
      <w:r w:rsidRPr="004E572C">
        <w:rPr>
          <w:rFonts w:ascii="Times New Roman" w:hAnsi="Times New Roman"/>
          <w:sz w:val="24"/>
          <w:szCs w:val="24"/>
        </w:rPr>
        <w:t xml:space="preserve"> или </w:t>
      </w:r>
      <w:r w:rsidRPr="004E572C">
        <w:rPr>
          <w:rFonts w:ascii="Times New Roman" w:hAnsi="Times New Roman"/>
          <w:sz w:val="24"/>
          <w:szCs w:val="24"/>
          <w:lang w:val="en-US"/>
        </w:rPr>
        <w:t>IV</w:t>
      </w:r>
      <w:r w:rsidRPr="004E572C">
        <w:rPr>
          <w:rFonts w:ascii="Times New Roman" w:hAnsi="Times New Roman"/>
          <w:sz w:val="24"/>
          <w:szCs w:val="24"/>
        </w:rPr>
        <w:t xml:space="preserve"> режим химиотерапии до получения данных ТЛЧ.</w:t>
      </w:r>
    </w:p>
    <w:p w:rsidR="00A97587" w:rsidRDefault="00A97587" w:rsidP="000B4017">
      <w:pPr>
        <w:pStyle w:val="Heading3"/>
        <w:numPr>
          <w:ilvl w:val="2"/>
          <w:numId w:val="16"/>
        </w:numPr>
      </w:pPr>
      <w:bookmarkStart w:id="91" w:name="_Toc373847380"/>
      <w:r w:rsidRPr="001B6517">
        <w:t>Сахарный диабет.</w:t>
      </w:r>
      <w:bookmarkEnd w:id="91"/>
      <w:r w:rsidRPr="001B6517">
        <w:t xml:space="preserve"> </w:t>
      </w:r>
    </w:p>
    <w:p w:rsidR="00A97587" w:rsidRDefault="00A97587" w:rsidP="000B4017">
      <w:pPr>
        <w:pStyle w:val="BodyText"/>
        <w:rPr>
          <w:lang w:val="ru-RU"/>
        </w:rPr>
      </w:pPr>
      <w:r w:rsidRPr="00192261">
        <w:rPr>
          <w:lang w:val="ru-RU"/>
        </w:rPr>
        <w:t>Требуется тесный контакт с эндокринологом и строгий контроль за компенсацией нарушений углеводного обмена. Не желателен прием этионамида или протионамида</w:t>
      </w:r>
      <w:r>
        <w:rPr>
          <w:lang w:val="ru-RU"/>
        </w:rPr>
        <w:t>, а также бедаквилина</w:t>
      </w:r>
      <w:r w:rsidRPr="00192261">
        <w:rPr>
          <w:lang w:val="ru-RU"/>
        </w:rPr>
        <w:t xml:space="preserve">. При необходимости присутствия протионамида в режиме химиотерапии необходим более тщательный контроль  уровня глюкозы крови, в т.ч.  в 3.00. в связи с усилением гипогликемического антидиабетических препаратов  особенно в ночное время.  Рифампицин и изониазид  способствуют гипергликемии, необходим  тщательный   подбор инсулинотерапии.     </w:t>
      </w:r>
    </w:p>
    <w:p w:rsidR="00A97587" w:rsidRPr="00192261" w:rsidRDefault="00A97587" w:rsidP="000B4017">
      <w:pPr>
        <w:pStyle w:val="BodyText"/>
        <w:rPr>
          <w:lang w:val="ru-RU"/>
        </w:rPr>
      </w:pPr>
      <w:r w:rsidRPr="00192261">
        <w:rPr>
          <w:lang w:val="ru-RU"/>
        </w:rPr>
        <w:t>Необходим более частый контроль уровня креатинина и калия (еженедельно в первый месяц химиотерапии и затем – ежемесячно). При назначении 1 и 3 режима химиотерапии и наличии противопоказаний к назначению этамбутола, он отменяется, а длительность лечения увеличивается на 3 и более месяцев. При распространенном процессе по решению ВК в режим химиотерапии может быть включен инъекционный препарат при сохранении чувствительности к изониазиду и рифампицину.</w:t>
      </w:r>
    </w:p>
    <w:p w:rsidR="00A97587" w:rsidRDefault="00A97587" w:rsidP="000B4017">
      <w:pPr>
        <w:pStyle w:val="Heading3"/>
        <w:numPr>
          <w:ilvl w:val="2"/>
          <w:numId w:val="16"/>
        </w:numPr>
      </w:pPr>
      <w:bookmarkStart w:id="92" w:name="_Toc373847381"/>
      <w:r w:rsidRPr="001B6517">
        <w:t>Беременность</w:t>
      </w:r>
      <w:bookmarkEnd w:id="92"/>
      <w:r w:rsidRPr="001B6517">
        <w:t xml:space="preserve"> </w:t>
      </w:r>
    </w:p>
    <w:p w:rsidR="00A97587" w:rsidRPr="00192261" w:rsidRDefault="00A97587" w:rsidP="000B4017">
      <w:pPr>
        <w:pStyle w:val="BodyText"/>
        <w:rPr>
          <w:lang w:val="ru-RU"/>
        </w:rPr>
      </w:pPr>
      <w:r w:rsidRPr="00192261">
        <w:rPr>
          <w:lang w:val="ru-RU"/>
        </w:rPr>
        <w:t>Беременность не является противопоказанием для лечения активного туберкулеза. Лечение начинают после сопоставления предполагаемой пользы для матери и потенциального риска для плода не ранее второго триместра беременности. При лечении лекарственно чувствительно туберкулеза у беременной женщины из режима исключается пиразинамид и стрептомицин. При необходимости применения препаратов резерва лечение начинают во втором триместре беременности или же ранее в случае тяжелого состояния пациентки. Решение о задержке начала терапии принимается ВК на основании анализа факторов возможного риска и преимуществ и основывается на оценке тяжести процесса. Если принимается решение о проведении химиотерапии, то назначают три или четыре пероральных препарата. После родов режим усиливается назначением инъекционных и других препаратов. При беременности нельзя назначать этионамид, пиразинамид, стрептомицин, канамицин, амикацин, капреомицин, препараты фторхинолонового ряда</w:t>
      </w:r>
      <w:r>
        <w:rPr>
          <w:lang w:val="ru-RU"/>
        </w:rPr>
        <w:t>, бедаквилин</w:t>
      </w:r>
      <w:r w:rsidRPr="00192261">
        <w:rPr>
          <w:lang w:val="ru-RU"/>
        </w:rPr>
        <w:t>.</w:t>
      </w:r>
    </w:p>
    <w:p w:rsidR="00A97587" w:rsidRPr="00192261" w:rsidRDefault="00A97587" w:rsidP="000B4017">
      <w:pPr>
        <w:pStyle w:val="BodyText"/>
        <w:rPr>
          <w:b/>
          <w:u w:val="single"/>
          <w:lang w:val="ru-RU"/>
        </w:rPr>
      </w:pPr>
      <w:r w:rsidRPr="00192261">
        <w:rPr>
          <w:b/>
          <w:u w:val="single"/>
          <w:lang w:val="ru-RU"/>
        </w:rPr>
        <w:t>Ведение беременности у женщин, больных туберкулезом органов дыхания.</w:t>
      </w:r>
    </w:p>
    <w:p w:rsidR="00A97587" w:rsidRPr="001B6517" w:rsidRDefault="00A97587" w:rsidP="004E572C">
      <w:pPr>
        <w:pStyle w:val="ListBullet"/>
        <w:numPr>
          <w:ilvl w:val="0"/>
          <w:numId w:val="17"/>
        </w:numPr>
        <w:jc w:val="both"/>
      </w:pPr>
      <w:r w:rsidRPr="001B6517">
        <w:t>Беременные с установленным диагнозом туберкулеза органов дыхания должны состоять на диспансерном учете в женской консультации по месту жительства под наблюдением участкового акушера – гинеколога. Одновременно женщина состоит на диспансерном учете в противотуберкулезном диспансере под наблюдением участкового фтизиатра.</w:t>
      </w:r>
    </w:p>
    <w:p w:rsidR="00A97587" w:rsidRPr="001B6517" w:rsidRDefault="00A97587" w:rsidP="004E572C">
      <w:pPr>
        <w:pStyle w:val="ListBullet"/>
        <w:numPr>
          <w:ilvl w:val="0"/>
          <w:numId w:val="17"/>
        </w:numPr>
        <w:jc w:val="both"/>
      </w:pPr>
      <w:r w:rsidRPr="001B6517">
        <w:t>Тактика ведения беременности обсуждается акушером – гинекологом совместно с фтизиатром. При возникновении акушерских осложнений во время беременности лечение больных туберкулезом не отличается от стандартов, принятых в акушерстве. При необходимости беременную следует направлять для лечения в отделение патологии беременности при специализированных родильных домах или в обсервационное отделение родильного дома общего профиля.</w:t>
      </w:r>
    </w:p>
    <w:p w:rsidR="00A97587" w:rsidRPr="001B6517" w:rsidRDefault="00A97587" w:rsidP="004E572C">
      <w:pPr>
        <w:pStyle w:val="ListBullet"/>
        <w:numPr>
          <w:ilvl w:val="0"/>
          <w:numId w:val="17"/>
        </w:numPr>
        <w:jc w:val="both"/>
      </w:pPr>
      <w:r w:rsidRPr="001B6517">
        <w:t>Госпитализация женщин с остаточными изменениями, из очага туберкулезной инфекции, из группы риска в палату патологии беременности осуществляется за 2 недели до родов.</w:t>
      </w:r>
    </w:p>
    <w:p w:rsidR="00A97587" w:rsidRPr="001B6517" w:rsidRDefault="00A97587" w:rsidP="004E572C">
      <w:pPr>
        <w:pStyle w:val="ListBullet"/>
        <w:numPr>
          <w:ilvl w:val="0"/>
          <w:numId w:val="17"/>
        </w:numPr>
        <w:jc w:val="both"/>
      </w:pPr>
      <w:r w:rsidRPr="001B6517">
        <w:t>Госпитализация беременных с активным туберкулезом легких осуществляется в различные сроки беременности в связи с необходимостью проведения противотуберкулезного лечения (от 2-х месяцев и более, до излечения от туберкулеза).</w:t>
      </w:r>
    </w:p>
    <w:p w:rsidR="00A97587" w:rsidRPr="00192261" w:rsidRDefault="00A97587" w:rsidP="004E572C">
      <w:pPr>
        <w:pStyle w:val="BodyText"/>
        <w:rPr>
          <w:b/>
          <w:u w:val="single"/>
          <w:lang w:val="ru-RU"/>
        </w:rPr>
      </w:pPr>
      <w:r w:rsidRPr="00192261">
        <w:rPr>
          <w:b/>
          <w:u w:val="single"/>
          <w:lang w:val="ru-RU"/>
        </w:rPr>
        <w:t>Ведение родов у женщин, больных туберкулезом органов дыхания.</w:t>
      </w:r>
    </w:p>
    <w:p w:rsidR="00A97587" w:rsidRPr="001B6517" w:rsidRDefault="00A97587" w:rsidP="004E572C">
      <w:pPr>
        <w:pStyle w:val="ListBullet"/>
        <w:numPr>
          <w:ilvl w:val="0"/>
          <w:numId w:val="17"/>
        </w:numPr>
        <w:jc w:val="both"/>
      </w:pPr>
      <w:r w:rsidRPr="001B6517">
        <w:t>План ведения родов составляется совместно фтизиатром и акушером – гинекологом. У большинства женщин ведение родов консервативное. При тяжелых формах туберкулеза с наличием легочно – сердечной недостаточности в первом периоде родов вопрос решается в пользу кесарева сечения. Показаниями к оперативному родоразрешению могут явиться общие акушерские осложнения. При несвоевременном излитии околоплодных вод или слабости родовой деятельности необходима своевременная стимуляция родовой деятельности.</w:t>
      </w:r>
    </w:p>
    <w:p w:rsidR="00A97587" w:rsidRPr="001B6517" w:rsidRDefault="00A97587" w:rsidP="004E572C">
      <w:pPr>
        <w:pStyle w:val="ListBullet"/>
        <w:numPr>
          <w:ilvl w:val="0"/>
          <w:numId w:val="17"/>
        </w:numPr>
        <w:jc w:val="both"/>
      </w:pPr>
      <w:r w:rsidRPr="001B6517">
        <w:t>Во втором периоде родов у больных с кавернозной и диссеминированной формой туберкулеза рекомендуется выключение потужного периода родов. Это же целесообразно при родоразрешении больных с искусственным пневмотораксом.</w:t>
      </w:r>
    </w:p>
    <w:p w:rsidR="00A97587" w:rsidRPr="001B6517" w:rsidRDefault="00A97587" w:rsidP="004E572C">
      <w:pPr>
        <w:pStyle w:val="ListBullet"/>
        <w:numPr>
          <w:ilvl w:val="0"/>
          <w:numId w:val="17"/>
        </w:numPr>
        <w:jc w:val="both"/>
      </w:pPr>
      <w:r w:rsidRPr="001B6517">
        <w:t>В третьем периоде родов необходимо проводить профилактику гипотонического кровотечения.</w:t>
      </w:r>
    </w:p>
    <w:p w:rsidR="00A97587" w:rsidRPr="00192261" w:rsidRDefault="00A97587" w:rsidP="004E572C">
      <w:pPr>
        <w:pStyle w:val="BodyText"/>
        <w:rPr>
          <w:b/>
          <w:u w:val="single"/>
          <w:lang w:val="ru-RU"/>
        </w:rPr>
      </w:pPr>
      <w:r w:rsidRPr="00192261">
        <w:rPr>
          <w:b/>
          <w:u w:val="single"/>
          <w:lang w:val="ru-RU"/>
        </w:rPr>
        <w:t>Ведение послеродового периода у женщин, больных туберкулезом органов дыхания.</w:t>
      </w:r>
    </w:p>
    <w:p w:rsidR="00A97587" w:rsidRPr="001B6517" w:rsidRDefault="00A97587" w:rsidP="004E572C">
      <w:pPr>
        <w:pStyle w:val="ListBullet"/>
        <w:numPr>
          <w:ilvl w:val="0"/>
          <w:numId w:val="17"/>
        </w:numPr>
        <w:jc w:val="both"/>
      </w:pPr>
      <w:r w:rsidRPr="001B6517">
        <w:t>При наличии активного туберкулезного процесса, особенно с бактериовыделением, после первичной обработки (через 10-15 минут после рождения) необходима изоляция новорожденного сроком на 6-8 недель в случае проведения БЦЖ – вакцинации.</w:t>
      </w:r>
    </w:p>
    <w:p w:rsidR="00A97587" w:rsidRPr="001B6517" w:rsidRDefault="00A97587" w:rsidP="004E572C">
      <w:pPr>
        <w:pStyle w:val="ListBullet"/>
        <w:numPr>
          <w:ilvl w:val="0"/>
          <w:numId w:val="17"/>
        </w:numPr>
        <w:jc w:val="both"/>
      </w:pPr>
      <w:r w:rsidRPr="001B6517">
        <w:t>Все новорожденные от матерей, больных туберкулезом, должны быть вакцинированы БЦЖ или БЦЖ-М, в зависимости от состояния новорожденного. Вакцину БЦЖ применяют внутрикожно в дозе 0,05мг в 0,1мл растворителя. Первичную вакцинацию осуществляют здоровым новорожденным детям на 3-7 сутки жизни. Сроки вакцинации детей, родившихся от матерей, больных туберкулезом органов дыхания, устанавливаются врачом – неонатологом совместно с фтизиатром.</w:t>
      </w:r>
    </w:p>
    <w:p w:rsidR="00A97587" w:rsidRPr="001B6517" w:rsidRDefault="00A97587" w:rsidP="004E572C">
      <w:pPr>
        <w:pStyle w:val="ListBullet"/>
        <w:numPr>
          <w:ilvl w:val="0"/>
          <w:numId w:val="17"/>
        </w:numPr>
        <w:jc w:val="both"/>
      </w:pPr>
      <w:r w:rsidRPr="001B6517">
        <w:t>Дети, не вакцинированные в период новорожденности, получают вакцину БЦЖ-М. Детям в возрасте 2 месяцев и старше предварительно проводят пробу Манту с 2ТЕ PPD-L и вакцинируют только туберкулин – отрицательных.</w:t>
      </w:r>
    </w:p>
    <w:p w:rsidR="00A97587" w:rsidRPr="001B6517" w:rsidRDefault="00A97587" w:rsidP="004E572C">
      <w:pPr>
        <w:pStyle w:val="ListBullet"/>
        <w:numPr>
          <w:ilvl w:val="0"/>
          <w:numId w:val="17"/>
        </w:numPr>
        <w:jc w:val="both"/>
      </w:pPr>
      <w:r w:rsidRPr="001B6517">
        <w:t xml:space="preserve">Родильница, больная активным туберкулезов должна быть переведена для дальнейшего лечения в туберкулезный стационар. Тактика в отношении перевода ребенка, при необходимости, в отделение патологии новорожденных детской больницы решается врачом неонатологом родильного дома. </w:t>
      </w:r>
    </w:p>
    <w:p w:rsidR="00A97587" w:rsidRPr="001B6517" w:rsidRDefault="00A97587" w:rsidP="004E572C">
      <w:pPr>
        <w:pStyle w:val="ListBullet"/>
        <w:numPr>
          <w:ilvl w:val="0"/>
          <w:numId w:val="17"/>
        </w:numPr>
        <w:jc w:val="both"/>
      </w:pPr>
      <w:r w:rsidRPr="001B6517">
        <w:t>В течение 1-2 суток после родов родильнице необходимо произвести рентгенологическое исследование органов дыхания, на основании которого будет определяться тактика в отношении дальнейшего лечения, а также возможности грудного вскармливания.</w:t>
      </w:r>
    </w:p>
    <w:p w:rsidR="00A97587" w:rsidRDefault="00A97587" w:rsidP="004E572C">
      <w:pPr>
        <w:pStyle w:val="Heading3"/>
        <w:numPr>
          <w:ilvl w:val="2"/>
          <w:numId w:val="16"/>
        </w:numPr>
      </w:pPr>
      <w:r w:rsidRPr="001B6517">
        <w:t xml:space="preserve"> </w:t>
      </w:r>
      <w:bookmarkStart w:id="93" w:name="_Toc373847382"/>
      <w:r w:rsidRPr="001B6517">
        <w:t>Грудное вскармливание.</w:t>
      </w:r>
      <w:bookmarkEnd w:id="93"/>
      <w:r w:rsidRPr="001B6517">
        <w:t xml:space="preserve"> </w:t>
      </w:r>
    </w:p>
    <w:p w:rsidR="00A97587" w:rsidRPr="00192261" w:rsidRDefault="00A97587" w:rsidP="004E572C">
      <w:pPr>
        <w:pStyle w:val="BodyText"/>
        <w:rPr>
          <w:lang w:val="ru-RU"/>
        </w:rPr>
      </w:pPr>
      <w:r w:rsidRPr="00192261">
        <w:rPr>
          <w:lang w:val="ru-RU"/>
        </w:rPr>
        <w:t xml:space="preserve">При лечении активного туберкулеза у кормящей матери, ребенка переводят на искусственное вскармливание. </w:t>
      </w:r>
    </w:p>
    <w:p w:rsidR="00A97587" w:rsidRPr="00C175C0" w:rsidRDefault="00A97587" w:rsidP="004E572C">
      <w:pPr>
        <w:pStyle w:val="Heading3"/>
        <w:numPr>
          <w:ilvl w:val="2"/>
          <w:numId w:val="16"/>
        </w:numPr>
      </w:pPr>
      <w:r w:rsidRPr="001B6517">
        <w:t xml:space="preserve"> </w:t>
      </w:r>
      <w:bookmarkStart w:id="94" w:name="_Toc373847383"/>
      <w:r w:rsidRPr="001B6517">
        <w:t>Почечная недостаточность.</w:t>
      </w:r>
      <w:bookmarkEnd w:id="94"/>
      <w:r w:rsidRPr="001B6517">
        <w:t xml:space="preserve"> </w:t>
      </w:r>
    </w:p>
    <w:p w:rsidR="00A97587" w:rsidRPr="00192261" w:rsidRDefault="00A97587" w:rsidP="004E572C">
      <w:pPr>
        <w:pStyle w:val="BodyText"/>
        <w:rPr>
          <w:lang w:val="ru-RU"/>
        </w:rPr>
      </w:pPr>
      <w:r w:rsidRPr="00192261">
        <w:rPr>
          <w:lang w:val="ru-RU"/>
        </w:rPr>
        <w:t>В зависимости от уровня клиренса креатинина у больных снижают дозировки препаратов и/или увеличивают интервал между их приемом.</w:t>
      </w:r>
      <w:r>
        <w:rPr>
          <w:lang w:val="ru-RU"/>
        </w:rPr>
        <w:t xml:space="preserve"> При тяжелом течении почесной недостаточности противопоказан бедаквилин.</w:t>
      </w:r>
    </w:p>
    <w:p w:rsidR="00A97587" w:rsidRPr="001B6517" w:rsidRDefault="00A97587" w:rsidP="00F5134B">
      <w:pPr>
        <w:keepNext/>
        <w:ind w:firstLine="360"/>
        <w:jc w:val="right"/>
        <w:rPr>
          <w:b/>
          <w:sz w:val="24"/>
          <w:szCs w:val="24"/>
        </w:rPr>
      </w:pPr>
      <w:r w:rsidRPr="001B6517">
        <w:rPr>
          <w:b/>
          <w:sz w:val="24"/>
          <w:szCs w:val="24"/>
        </w:rPr>
        <w:t>Таблица 1</w:t>
      </w:r>
      <w:r w:rsidRPr="00192261">
        <w:rPr>
          <w:b/>
          <w:sz w:val="24"/>
          <w:szCs w:val="24"/>
        </w:rPr>
        <w:t>0</w:t>
      </w:r>
    </w:p>
    <w:p w:rsidR="00A97587" w:rsidRPr="001B6517" w:rsidRDefault="00A97587" w:rsidP="00F5134B">
      <w:pPr>
        <w:keepNext/>
        <w:spacing w:after="120"/>
        <w:ind w:left="283" w:right="-2"/>
        <w:jc w:val="center"/>
        <w:rPr>
          <w:b/>
          <w:sz w:val="24"/>
          <w:szCs w:val="24"/>
        </w:rPr>
      </w:pPr>
      <w:r w:rsidRPr="001B6517">
        <w:rPr>
          <w:b/>
          <w:sz w:val="24"/>
          <w:szCs w:val="24"/>
        </w:rPr>
        <w:t>Коррекция противотуберкулезной химиотерапии при почечной недостаточности</w:t>
      </w:r>
    </w:p>
    <w:tbl>
      <w:tblPr>
        <w:tblW w:w="9327" w:type="dxa"/>
        <w:jc w:val="center"/>
        <w:tblInd w:w="-5" w:type="dxa"/>
        <w:tblLayout w:type="fixed"/>
        <w:tblLook w:val="00A0"/>
      </w:tblPr>
      <w:tblGrid>
        <w:gridCol w:w="3397"/>
        <w:gridCol w:w="5930"/>
      </w:tblGrid>
      <w:tr w:rsidR="00A97587" w:rsidRPr="003F52C2" w:rsidTr="002C7D0F">
        <w:trPr>
          <w:jc w:val="center"/>
        </w:trPr>
        <w:tc>
          <w:tcPr>
            <w:tcW w:w="3397" w:type="dxa"/>
            <w:tcBorders>
              <w:top w:val="single" w:sz="4" w:space="0" w:color="000000"/>
              <w:left w:val="single" w:sz="4" w:space="0" w:color="000000"/>
              <w:bottom w:val="single" w:sz="4" w:space="0" w:color="000000"/>
              <w:right w:val="nil"/>
            </w:tcBorders>
            <w:vAlign w:val="center"/>
          </w:tcPr>
          <w:p w:rsidR="00A97587" w:rsidRPr="003F52C2" w:rsidRDefault="00A97587" w:rsidP="002C7D0F">
            <w:pPr>
              <w:pStyle w:val="a0"/>
              <w:jc w:val="center"/>
            </w:pPr>
            <w:r w:rsidRPr="003F52C2">
              <w:t>Препарат</w:t>
            </w:r>
          </w:p>
        </w:tc>
        <w:tc>
          <w:tcPr>
            <w:tcW w:w="5930" w:type="dxa"/>
            <w:tcBorders>
              <w:top w:val="single" w:sz="4" w:space="0" w:color="000000"/>
              <w:left w:val="single" w:sz="4" w:space="0" w:color="000000"/>
              <w:bottom w:val="single" w:sz="4" w:space="0" w:color="000000"/>
              <w:right w:val="single" w:sz="4" w:space="0" w:color="000000"/>
            </w:tcBorders>
            <w:vAlign w:val="center"/>
          </w:tcPr>
          <w:p w:rsidR="00A97587" w:rsidRPr="003F52C2" w:rsidRDefault="00A97587" w:rsidP="002C7D0F">
            <w:pPr>
              <w:pStyle w:val="a0"/>
              <w:jc w:val="center"/>
            </w:pPr>
            <w:r w:rsidRPr="003F52C2">
              <w:t>Рекомендованные дозы и частота для больных с клиренсом креатинина менее 30 мл/мин и при гемодиализе</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Изониазид</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300 мг однократно ежедневно или 900 мг 3 раза в неделю</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Рифампицин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600 мг однократно ежедневно или 600 мг 3 раза в неделю</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Пиразинамид</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 xml:space="preserve">25 – 35 мг/кг/день 3 раза в неделю </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Этамбутол</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 xml:space="preserve">15 – 25 мг/кг/день 3 раза в неделю </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Офлоксацин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 xml:space="preserve">600 – 800 мг 3 раза в неделю </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Левофлоксацин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 xml:space="preserve">750 – 1000 мг 3 раза в неделю </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Моксифлоксацин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400 мг 1 раз в день</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Циклосерин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250 мг 1 раз в день или 500 мг 3 раза в неделю*</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Протионамид</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250 – 500 мг в день</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Этионамид</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250 – 500 мг в день</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Аминосалициловая кислота**</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4 г 2 раза в день</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Капреомицин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12 - 15 мг/кг 2 – 3 раза в неделю***</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Канамицин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12 - 15 мг/кг 2 – 3 раза в неделю***</w:t>
            </w:r>
          </w:p>
        </w:tc>
      </w:tr>
      <w:tr w:rsidR="00A97587" w:rsidRPr="003F52C2" w:rsidTr="002C7D0F">
        <w:trPr>
          <w:jc w:val="center"/>
        </w:trPr>
        <w:tc>
          <w:tcPr>
            <w:tcW w:w="3397" w:type="dxa"/>
            <w:tcBorders>
              <w:top w:val="nil"/>
              <w:left w:val="single" w:sz="4" w:space="0" w:color="000000"/>
              <w:bottom w:val="single" w:sz="4" w:space="0" w:color="000000"/>
              <w:right w:val="nil"/>
            </w:tcBorders>
          </w:tcPr>
          <w:p w:rsidR="00A97587" w:rsidRPr="003F52C2" w:rsidRDefault="00A97587" w:rsidP="002C7D0F">
            <w:pPr>
              <w:pStyle w:val="a0"/>
            </w:pPr>
            <w:r w:rsidRPr="003F52C2">
              <w:t>Амикацин</w:t>
            </w:r>
          </w:p>
        </w:tc>
        <w:tc>
          <w:tcPr>
            <w:tcW w:w="5930" w:type="dxa"/>
            <w:tcBorders>
              <w:top w:val="nil"/>
              <w:left w:val="single" w:sz="4" w:space="0" w:color="000000"/>
              <w:bottom w:val="single" w:sz="4" w:space="0" w:color="000000"/>
              <w:right w:val="single" w:sz="4" w:space="0" w:color="000000"/>
            </w:tcBorders>
          </w:tcPr>
          <w:p w:rsidR="00A97587" w:rsidRPr="003F52C2" w:rsidRDefault="00A97587" w:rsidP="002C7D0F">
            <w:pPr>
              <w:pStyle w:val="a0"/>
            </w:pPr>
            <w:r w:rsidRPr="003F52C2">
              <w:t>12 - 15 мг/кг 2 – 3 раза в неделю***</w:t>
            </w:r>
          </w:p>
        </w:tc>
      </w:tr>
    </w:tbl>
    <w:p w:rsidR="00A97587" w:rsidRPr="003F52C2" w:rsidRDefault="00A97587" w:rsidP="000B4017">
      <w:pPr>
        <w:spacing w:after="0" w:line="240" w:lineRule="auto"/>
        <w:ind w:left="284" w:right="187"/>
        <w:jc w:val="both"/>
        <w:rPr>
          <w:sz w:val="20"/>
          <w:szCs w:val="20"/>
        </w:rPr>
      </w:pPr>
      <w:r w:rsidRPr="003F52C2">
        <w:rPr>
          <w:sz w:val="20"/>
          <w:szCs w:val="20"/>
        </w:rPr>
        <w:t>* - приемлемость дозы 250 мг точно не установлена. Необходим строгий мониторинг признаков нейротоксичности (при возможности контроль уровня в сыворотке и соответствующая коррекция).</w:t>
      </w:r>
    </w:p>
    <w:p w:rsidR="00A97587" w:rsidRPr="003F52C2" w:rsidRDefault="00A97587" w:rsidP="000B4017">
      <w:pPr>
        <w:spacing w:after="0" w:line="240" w:lineRule="auto"/>
        <w:ind w:left="284" w:right="187"/>
        <w:jc w:val="both"/>
        <w:rPr>
          <w:sz w:val="20"/>
          <w:szCs w:val="20"/>
        </w:rPr>
      </w:pPr>
      <w:r w:rsidRPr="003F52C2">
        <w:rPr>
          <w:sz w:val="20"/>
          <w:szCs w:val="20"/>
        </w:rPr>
        <w:t xml:space="preserve">** - натриевая соль  аминосалициловой кислоты может дать избыточную нагрузку натрием и не рекомендована у больных с почечной недостаточностью. </w:t>
      </w:r>
    </w:p>
    <w:p w:rsidR="00A97587" w:rsidRPr="003F52C2" w:rsidRDefault="00A97587" w:rsidP="000B4017">
      <w:pPr>
        <w:spacing w:after="0" w:line="240" w:lineRule="auto"/>
        <w:ind w:left="284" w:right="187"/>
        <w:jc w:val="both"/>
        <w:rPr>
          <w:sz w:val="20"/>
          <w:szCs w:val="20"/>
        </w:rPr>
      </w:pPr>
      <w:r w:rsidRPr="003F52C2">
        <w:rPr>
          <w:sz w:val="20"/>
          <w:szCs w:val="20"/>
        </w:rPr>
        <w:t>*** - возможна повышенная ото- и нефротоксичность.</w:t>
      </w:r>
    </w:p>
    <w:p w:rsidR="00A97587" w:rsidRDefault="00A97587" w:rsidP="000B4017">
      <w:pPr>
        <w:pStyle w:val="Heading3"/>
        <w:numPr>
          <w:ilvl w:val="2"/>
          <w:numId w:val="16"/>
        </w:numPr>
      </w:pPr>
      <w:bookmarkStart w:id="95" w:name="_Toc373847384"/>
      <w:r w:rsidRPr="001B6517">
        <w:t>Печеночная недостаточность.</w:t>
      </w:r>
      <w:bookmarkEnd w:id="95"/>
      <w:r w:rsidRPr="001B6517">
        <w:t xml:space="preserve"> </w:t>
      </w:r>
    </w:p>
    <w:p w:rsidR="00A97587" w:rsidRPr="00192261" w:rsidRDefault="00A97587" w:rsidP="000B4017">
      <w:pPr>
        <w:pStyle w:val="BodyText"/>
        <w:rPr>
          <w:lang w:val="ru-RU"/>
        </w:rPr>
      </w:pPr>
      <w:r w:rsidRPr="00192261">
        <w:rPr>
          <w:lang w:val="ru-RU"/>
        </w:rPr>
        <w:t>Больным с хронической патологией печени не следует назначать пиразинамид</w:t>
      </w:r>
      <w:r>
        <w:rPr>
          <w:lang w:val="ru-RU"/>
        </w:rPr>
        <w:t>, бедаквилин</w:t>
      </w:r>
      <w:r w:rsidRPr="00192261">
        <w:rPr>
          <w:lang w:val="ru-RU"/>
        </w:rPr>
        <w:t xml:space="preserve">. Все остальные гепатотоксичные противотуберкулезные препараты (изониазид, рифампицин, этионамид, протионамид, аминосалициловая кислота, фторхинолоны) назначаются при строгом мониторинге печеночных ферментов и использовании гепатопротекторов. Развитие гепатита с повышением трансаминаз (АЛТ, АСТ) в 4 и более раз служит основанием для отмены гепатотоксичных препаратов.    </w:t>
      </w:r>
    </w:p>
    <w:p w:rsidR="00A97587" w:rsidRDefault="00A97587" w:rsidP="000B4017">
      <w:pPr>
        <w:pStyle w:val="Heading3"/>
        <w:numPr>
          <w:ilvl w:val="2"/>
          <w:numId w:val="16"/>
        </w:numPr>
      </w:pPr>
      <w:bookmarkStart w:id="96" w:name="_Toc373847385"/>
      <w:r w:rsidRPr="001B6517">
        <w:t>Язвенная болезнь желудка и двенадцатиперстной кишки.</w:t>
      </w:r>
      <w:bookmarkEnd w:id="96"/>
      <w:r w:rsidRPr="001B6517">
        <w:t xml:space="preserve"> </w:t>
      </w:r>
    </w:p>
    <w:p w:rsidR="00A97587" w:rsidRPr="00192261" w:rsidRDefault="00A97587" w:rsidP="000B4017">
      <w:pPr>
        <w:pStyle w:val="BodyText"/>
        <w:rPr>
          <w:lang w:val="ru-RU"/>
        </w:rPr>
      </w:pPr>
      <w:r w:rsidRPr="00192261">
        <w:rPr>
          <w:lang w:val="ru-RU"/>
        </w:rPr>
        <w:t xml:space="preserve">При постановке первичного диагноза язвенной болезни больного необходимо пролечить его одновременно от язвенной болезни и туберкулеза. Предпочтительно парентеральное введение химиопрепаратов при наличии инъекционных форм выпуска. Фторхинолоны назначаются через 4 часа после приема антацидов, содержащих алюминий, железо, магний, цинк, кальций, сукральфат, салицилаты висмута. </w:t>
      </w:r>
    </w:p>
    <w:p w:rsidR="00A97587" w:rsidRDefault="00A97587" w:rsidP="000B4017">
      <w:pPr>
        <w:pStyle w:val="Heading3"/>
        <w:numPr>
          <w:ilvl w:val="2"/>
          <w:numId w:val="16"/>
        </w:numPr>
      </w:pPr>
      <w:bookmarkStart w:id="97" w:name="_Toc373847386"/>
      <w:r w:rsidRPr="001B6517">
        <w:t>Судорожные состояния.</w:t>
      </w:r>
      <w:bookmarkEnd w:id="97"/>
      <w:r w:rsidRPr="001B6517">
        <w:t xml:space="preserve"> </w:t>
      </w:r>
    </w:p>
    <w:p w:rsidR="00A97587" w:rsidRPr="00192261" w:rsidRDefault="00A97587" w:rsidP="000B4017">
      <w:pPr>
        <w:pStyle w:val="BodyText"/>
        <w:rPr>
          <w:lang w:val="ru-RU"/>
        </w:rPr>
      </w:pPr>
      <w:r w:rsidRPr="00192261">
        <w:rPr>
          <w:lang w:val="ru-RU"/>
        </w:rPr>
        <w:t xml:space="preserve">У больных с активными судорожными состояниями, не поддающимися медикаментозному контролю, нельзя применять циклосерин и теризидон, с осторожностью - изониазид. В остальных случаях во время химиотерапии назначаются противосудорожные препараты по рекомендации специалиста. </w:t>
      </w:r>
    </w:p>
    <w:p w:rsidR="00A97587" w:rsidRDefault="00A97587" w:rsidP="000B4017">
      <w:pPr>
        <w:pStyle w:val="Heading3"/>
        <w:numPr>
          <w:ilvl w:val="2"/>
          <w:numId w:val="16"/>
        </w:numPr>
      </w:pPr>
      <w:bookmarkStart w:id="98" w:name="_Toc373847387"/>
      <w:r w:rsidRPr="001B6517">
        <w:t>Психические нарушения.</w:t>
      </w:r>
      <w:bookmarkEnd w:id="98"/>
      <w:r w:rsidRPr="001B6517">
        <w:t xml:space="preserve"> </w:t>
      </w:r>
    </w:p>
    <w:p w:rsidR="00A97587" w:rsidRPr="00192261" w:rsidRDefault="00A97587" w:rsidP="000B4017">
      <w:pPr>
        <w:pStyle w:val="BodyText"/>
        <w:rPr>
          <w:lang w:val="ru-RU"/>
        </w:rPr>
      </w:pPr>
      <w:r w:rsidRPr="00192261">
        <w:rPr>
          <w:lang w:val="ru-RU"/>
        </w:rPr>
        <w:t>Перед началом лечения лекарственно устойчивого туберкулеза у пациентов с психическими нарушениями проводится консультация психиатра. Вопрос об использовании циклосерина, теризидона, моксифлоксацина у пациента с психическими нарушениями решается совместно с психиатром</w:t>
      </w:r>
    </w:p>
    <w:p w:rsidR="00A97587" w:rsidRDefault="00A97587" w:rsidP="000B4017">
      <w:pPr>
        <w:pStyle w:val="Heading3"/>
        <w:numPr>
          <w:ilvl w:val="2"/>
          <w:numId w:val="16"/>
        </w:numPr>
      </w:pPr>
      <w:bookmarkStart w:id="99" w:name="_Toc373847388"/>
      <w:r w:rsidRPr="001B6517">
        <w:t>Наркотическая зависимость.</w:t>
      </w:r>
      <w:bookmarkEnd w:id="99"/>
      <w:r w:rsidRPr="001B6517">
        <w:t xml:space="preserve"> </w:t>
      </w:r>
    </w:p>
    <w:p w:rsidR="00A97587" w:rsidRPr="00192261" w:rsidRDefault="00A97587" w:rsidP="000B4017">
      <w:pPr>
        <w:pStyle w:val="BodyText"/>
        <w:rPr>
          <w:lang w:val="ru-RU"/>
        </w:rPr>
      </w:pPr>
      <w:r w:rsidRPr="00192261">
        <w:rPr>
          <w:lang w:val="ru-RU"/>
        </w:rPr>
        <w:t>Назначение циклосерина пациентам с алкогольной и с наркотической зависимостью решается совместно с наркологом.</w:t>
      </w:r>
    </w:p>
    <w:p w:rsidR="00A97587" w:rsidRDefault="00A97587" w:rsidP="000B4017">
      <w:pPr>
        <w:pStyle w:val="Heading3"/>
        <w:numPr>
          <w:ilvl w:val="2"/>
          <w:numId w:val="16"/>
        </w:numPr>
      </w:pPr>
      <w:bookmarkStart w:id="100" w:name="_Toc373847389"/>
      <w:r w:rsidRPr="001B6517">
        <w:t>Пожилой возраст (60-75 лет).</w:t>
      </w:r>
      <w:bookmarkEnd w:id="100"/>
      <w:r w:rsidRPr="001B6517">
        <w:t xml:space="preserve"> </w:t>
      </w:r>
    </w:p>
    <w:p w:rsidR="00A97587" w:rsidRPr="00C77C63" w:rsidRDefault="00A97587" w:rsidP="000B4017">
      <w:pPr>
        <w:pStyle w:val="BodyText"/>
        <w:rPr>
          <w:lang w:val="ru-RU"/>
        </w:rPr>
      </w:pPr>
      <w:r w:rsidRPr="00192261">
        <w:rPr>
          <w:lang w:val="ru-RU"/>
        </w:rPr>
        <w:t xml:space="preserve">Необходимо снижение дозы инъекционных препаратов до 0,75 и тщательная коррекция сопутствующей патологии. </w:t>
      </w:r>
      <w:r w:rsidRPr="00C77C63">
        <w:rPr>
          <w:lang w:val="ru-RU"/>
        </w:rPr>
        <w:t>Доза изониазида не должна превышать 5 мг/кг.</w:t>
      </w:r>
      <w:r>
        <w:rPr>
          <w:lang w:val="ru-RU"/>
        </w:rPr>
        <w:t xml:space="preserve"> Назначение бедаквилина не показано.</w:t>
      </w:r>
    </w:p>
    <w:p w:rsidR="00A97587" w:rsidRPr="001B6517" w:rsidRDefault="00A97587" w:rsidP="000B4017">
      <w:pPr>
        <w:ind w:firstLine="360"/>
        <w:jc w:val="both"/>
        <w:rPr>
          <w:sz w:val="24"/>
          <w:szCs w:val="24"/>
        </w:rPr>
      </w:pPr>
    </w:p>
    <w:p w:rsidR="00A97587" w:rsidRPr="001B6517" w:rsidRDefault="00A97587" w:rsidP="00136C1B">
      <w:pPr>
        <w:pStyle w:val="Heading2"/>
        <w:numPr>
          <w:ilvl w:val="1"/>
          <w:numId w:val="16"/>
        </w:numPr>
        <w:ind w:left="0" w:firstLine="0"/>
      </w:pPr>
      <w:bookmarkStart w:id="101" w:name="_Toc373847390"/>
      <w:bookmarkStart w:id="102" w:name="_Toc374016070"/>
      <w:r w:rsidRPr="001B6517">
        <w:t>Побочные действия</w:t>
      </w:r>
      <w:bookmarkEnd w:id="101"/>
      <w:bookmarkEnd w:id="102"/>
    </w:p>
    <w:p w:rsidR="00A97587" w:rsidRPr="00192261" w:rsidRDefault="00A97587" w:rsidP="004E572C">
      <w:pPr>
        <w:pStyle w:val="BodyText"/>
        <w:rPr>
          <w:lang w:val="ru-RU"/>
        </w:rPr>
      </w:pPr>
      <w:r w:rsidRPr="00192261">
        <w:rPr>
          <w:lang w:val="ru-RU"/>
        </w:rPr>
        <w:t>Для мониторинга побочных действий противотуберкулезных препаратов в процессе лечения необходимо проводить исследования:</w:t>
      </w:r>
    </w:p>
    <w:p w:rsidR="00A97587" w:rsidRPr="001B6517" w:rsidRDefault="00A97587" w:rsidP="004E572C">
      <w:pPr>
        <w:pStyle w:val="ListBullet"/>
        <w:numPr>
          <w:ilvl w:val="0"/>
          <w:numId w:val="17"/>
        </w:numPr>
        <w:jc w:val="both"/>
      </w:pPr>
      <w:r w:rsidRPr="001B6517">
        <w:t>клинические анализы крови и мочи  в интенсивной фазе лечения не реже 1 раза в месяц, а в фазе продолжения – 1 раз в 3 месяца;</w:t>
      </w:r>
    </w:p>
    <w:p w:rsidR="00A97587" w:rsidRPr="001B6517" w:rsidRDefault="00A97587" w:rsidP="004E572C">
      <w:pPr>
        <w:pStyle w:val="ListBullet"/>
        <w:numPr>
          <w:ilvl w:val="0"/>
          <w:numId w:val="17"/>
        </w:numPr>
        <w:jc w:val="both"/>
      </w:pPr>
      <w:r w:rsidRPr="001B6517">
        <w:t>определение содержания билирубина, АЛТ, АСТ в крови, проводимое в интенсивной фазе лечения не реже 1 раза в месяц, а в фазе продолжения – 1 раз в 3 месяца;</w:t>
      </w:r>
    </w:p>
    <w:p w:rsidR="00A97587" w:rsidRPr="001B6517" w:rsidRDefault="00A97587" w:rsidP="004E572C">
      <w:pPr>
        <w:pStyle w:val="ListBullet"/>
        <w:numPr>
          <w:ilvl w:val="0"/>
          <w:numId w:val="17"/>
        </w:numPr>
        <w:jc w:val="both"/>
      </w:pPr>
      <w:r w:rsidRPr="001B6517">
        <w:t>определение содержания креатинина сыворотки крови ежемесячно;</w:t>
      </w:r>
    </w:p>
    <w:p w:rsidR="00A97587" w:rsidRPr="001B6517" w:rsidRDefault="00A97587" w:rsidP="004E572C">
      <w:pPr>
        <w:pStyle w:val="ListBullet"/>
        <w:numPr>
          <w:ilvl w:val="0"/>
          <w:numId w:val="17"/>
        </w:numPr>
        <w:jc w:val="both"/>
      </w:pPr>
      <w:r w:rsidRPr="001B6517">
        <w:t>определения уровня калия, кальция, магния сыворотки крови ежемесячно при назначении инъекционных препаратов и линезолида;</w:t>
      </w:r>
    </w:p>
    <w:p w:rsidR="00A97587" w:rsidRPr="001B6517" w:rsidRDefault="00A97587" w:rsidP="004E572C">
      <w:pPr>
        <w:pStyle w:val="ListBullet"/>
        <w:numPr>
          <w:ilvl w:val="0"/>
          <w:numId w:val="17"/>
        </w:numPr>
        <w:jc w:val="both"/>
      </w:pPr>
      <w:r w:rsidRPr="001B6517">
        <w:t>уровень тиреотропного гормона при назначении протионамида и\или ПАСК;</w:t>
      </w:r>
    </w:p>
    <w:p w:rsidR="00A97587" w:rsidRPr="001B6517" w:rsidRDefault="00A97587" w:rsidP="004E572C">
      <w:pPr>
        <w:pStyle w:val="ListBullet"/>
        <w:numPr>
          <w:ilvl w:val="0"/>
          <w:numId w:val="17"/>
        </w:numPr>
        <w:jc w:val="both"/>
      </w:pPr>
      <w:r w:rsidRPr="001B6517">
        <w:t>уровень мочевой кислоты ежемесячно;</w:t>
      </w:r>
    </w:p>
    <w:p w:rsidR="00A97587" w:rsidRPr="001B6517" w:rsidRDefault="00A97587" w:rsidP="004E572C">
      <w:pPr>
        <w:pStyle w:val="ListBullet"/>
        <w:numPr>
          <w:ilvl w:val="0"/>
          <w:numId w:val="17"/>
        </w:numPr>
        <w:jc w:val="both"/>
      </w:pPr>
      <w:r w:rsidRPr="001B6517">
        <w:t>осмотр ЛОР-врача и аудиометрия ежемесячно при назначении инъекционных препаратов резерва;</w:t>
      </w:r>
    </w:p>
    <w:p w:rsidR="00A97587" w:rsidRPr="001B6517" w:rsidRDefault="00A97587" w:rsidP="004E572C">
      <w:pPr>
        <w:pStyle w:val="ListBullet"/>
        <w:numPr>
          <w:ilvl w:val="0"/>
          <w:numId w:val="17"/>
        </w:numPr>
        <w:jc w:val="both"/>
      </w:pPr>
      <w:r w:rsidRPr="001B6517">
        <w:t>осмотр окулиста до начала лечения;</w:t>
      </w:r>
    </w:p>
    <w:p w:rsidR="00A97587" w:rsidRPr="001B6517" w:rsidRDefault="00A97587" w:rsidP="004E572C">
      <w:pPr>
        <w:pStyle w:val="ListBullet"/>
        <w:numPr>
          <w:ilvl w:val="0"/>
          <w:numId w:val="17"/>
        </w:numPr>
        <w:jc w:val="both"/>
      </w:pPr>
      <w:r w:rsidRPr="001B6517">
        <w:t>осмотр психиатра до начала лечения, а затем ежемесячно в период ИФЛ при назначении фторхинолонов, циклосерина, теризидона;</w:t>
      </w:r>
    </w:p>
    <w:p w:rsidR="00A97587" w:rsidRPr="001B6517" w:rsidRDefault="00A97587" w:rsidP="004E572C">
      <w:pPr>
        <w:pStyle w:val="ListBullet"/>
        <w:numPr>
          <w:ilvl w:val="0"/>
          <w:numId w:val="17"/>
        </w:numPr>
        <w:jc w:val="both"/>
      </w:pPr>
      <w:r w:rsidRPr="001B6517">
        <w:t>ЭКГ (интервал QT) ежемесячно.</w:t>
      </w:r>
    </w:p>
    <w:p w:rsidR="00A97587" w:rsidRPr="001B6517" w:rsidRDefault="00A97587" w:rsidP="00F5134B">
      <w:pPr>
        <w:tabs>
          <w:tab w:val="left" w:pos="567"/>
          <w:tab w:val="left" w:pos="993"/>
          <w:tab w:val="left" w:pos="9072"/>
        </w:tabs>
        <w:spacing w:after="0" w:line="240" w:lineRule="auto"/>
        <w:ind w:left="284" w:right="-6"/>
        <w:jc w:val="right"/>
        <w:rPr>
          <w:b/>
          <w:sz w:val="24"/>
          <w:szCs w:val="24"/>
        </w:rPr>
      </w:pPr>
      <w:r w:rsidRPr="001B6517">
        <w:rPr>
          <w:b/>
          <w:sz w:val="24"/>
          <w:szCs w:val="24"/>
        </w:rPr>
        <w:t>Таблица 11</w:t>
      </w:r>
    </w:p>
    <w:p w:rsidR="00A97587" w:rsidRPr="001B6517" w:rsidRDefault="00A97587" w:rsidP="000B4017">
      <w:pPr>
        <w:tabs>
          <w:tab w:val="left" w:pos="567"/>
          <w:tab w:val="left" w:pos="993"/>
          <w:tab w:val="left" w:pos="9072"/>
        </w:tabs>
        <w:spacing w:after="120"/>
        <w:ind w:left="284" w:right="-5"/>
        <w:jc w:val="center"/>
        <w:rPr>
          <w:b/>
          <w:sz w:val="24"/>
          <w:szCs w:val="24"/>
        </w:rPr>
      </w:pPr>
      <w:r w:rsidRPr="001B6517">
        <w:rPr>
          <w:b/>
          <w:sz w:val="24"/>
          <w:szCs w:val="24"/>
        </w:rPr>
        <w:t>Побочные действия противотуберкулезных препаратов</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3"/>
        <w:gridCol w:w="1320"/>
        <w:gridCol w:w="7377"/>
      </w:tblGrid>
      <w:tr w:rsidR="00A97587" w:rsidRPr="00F5134B" w:rsidTr="00F5134B">
        <w:trPr>
          <w:tblHeader/>
          <w:jc w:val="center"/>
        </w:trPr>
        <w:tc>
          <w:tcPr>
            <w:tcW w:w="1323" w:type="dxa"/>
            <w:vAlign w:val="center"/>
          </w:tcPr>
          <w:p w:rsidR="00A97587" w:rsidRPr="00F5134B" w:rsidRDefault="00A97587" w:rsidP="00F5134B">
            <w:pPr>
              <w:pStyle w:val="a0"/>
              <w:jc w:val="center"/>
              <w:rPr>
                <w:b/>
              </w:rPr>
            </w:pPr>
            <w:r w:rsidRPr="00F5134B">
              <w:rPr>
                <w:b/>
              </w:rPr>
              <w:t>Побочное явление</w:t>
            </w:r>
          </w:p>
        </w:tc>
        <w:tc>
          <w:tcPr>
            <w:tcW w:w="1320" w:type="dxa"/>
            <w:vAlign w:val="center"/>
          </w:tcPr>
          <w:p w:rsidR="00A97587" w:rsidRPr="00F5134B" w:rsidRDefault="00A97587" w:rsidP="00F5134B">
            <w:pPr>
              <w:pStyle w:val="a0"/>
              <w:jc w:val="center"/>
              <w:rPr>
                <w:b/>
              </w:rPr>
            </w:pPr>
            <w:r w:rsidRPr="00F5134B">
              <w:rPr>
                <w:b/>
              </w:rPr>
              <w:t>Наиболее вероятный препарат</w:t>
            </w:r>
          </w:p>
        </w:tc>
        <w:tc>
          <w:tcPr>
            <w:tcW w:w="7377" w:type="dxa"/>
            <w:vAlign w:val="center"/>
          </w:tcPr>
          <w:p w:rsidR="00A97587" w:rsidRPr="00F5134B" w:rsidRDefault="00A97587" w:rsidP="00F5134B">
            <w:pPr>
              <w:pStyle w:val="a0"/>
              <w:jc w:val="center"/>
              <w:rPr>
                <w:b/>
              </w:rPr>
            </w:pPr>
            <w:r w:rsidRPr="00F5134B">
              <w:rPr>
                <w:b/>
              </w:rPr>
              <w:t>Рекомендуемая стратегия ведения (сила рекомендаций)</w:t>
            </w:r>
          </w:p>
        </w:tc>
      </w:tr>
      <w:tr w:rsidR="00A97587" w:rsidRPr="003F52C2" w:rsidTr="00F5134B">
        <w:trPr>
          <w:jc w:val="center"/>
        </w:trPr>
        <w:tc>
          <w:tcPr>
            <w:tcW w:w="1323" w:type="dxa"/>
          </w:tcPr>
          <w:p w:rsidR="00A97587" w:rsidRPr="003F52C2" w:rsidRDefault="00A97587" w:rsidP="002C7D0F">
            <w:pPr>
              <w:pStyle w:val="a0"/>
            </w:pPr>
            <w:r w:rsidRPr="003F52C2">
              <w:t>6.1.Судороги</w:t>
            </w:r>
          </w:p>
        </w:tc>
        <w:tc>
          <w:tcPr>
            <w:tcW w:w="1320" w:type="dxa"/>
          </w:tcPr>
          <w:p w:rsidR="00A97587" w:rsidRPr="003F52C2" w:rsidRDefault="00A97587" w:rsidP="002C7D0F">
            <w:pPr>
              <w:pStyle w:val="a0"/>
            </w:pPr>
            <w:r w:rsidRPr="003F52C2">
              <w:rPr>
                <w:lang w:val="en-US"/>
              </w:rPr>
              <w:t>Cs</w:t>
            </w:r>
            <w:r w:rsidRPr="003F52C2">
              <w:t xml:space="preserve">, Н, </w:t>
            </w:r>
            <w:r w:rsidRPr="003F52C2">
              <w:rPr>
                <w:lang w:val="en-US"/>
              </w:rPr>
              <w:t>Fq</w:t>
            </w:r>
          </w:p>
        </w:tc>
        <w:tc>
          <w:tcPr>
            <w:tcW w:w="7377" w:type="dxa"/>
          </w:tcPr>
          <w:p w:rsidR="00A97587" w:rsidRPr="003F52C2" w:rsidRDefault="00A97587" w:rsidP="002C7D0F">
            <w:pPr>
              <w:pStyle w:val="a0"/>
            </w:pPr>
            <w:r w:rsidRPr="003F52C2">
              <w:t>Для снижения токсического действия фторхинолонов и циклосерина  применять с профилактической целью глицин (3 таблетки в день) и глютаминовую кислоту (6 таблеток в день).</w:t>
            </w:r>
          </w:p>
          <w:p w:rsidR="00A97587" w:rsidRPr="003F52C2" w:rsidRDefault="00A97587" w:rsidP="002C7D0F">
            <w:pPr>
              <w:pStyle w:val="a0"/>
            </w:pPr>
            <w:r w:rsidRPr="003F52C2">
              <w:t xml:space="preserve">1. Отмена препарата, вызвавшего судороги. </w:t>
            </w:r>
          </w:p>
          <w:p w:rsidR="00A97587" w:rsidRPr="003F52C2" w:rsidRDefault="00A97587" w:rsidP="002C7D0F">
            <w:pPr>
              <w:pStyle w:val="a0"/>
            </w:pPr>
            <w:r w:rsidRPr="003F52C2">
              <w:t>2. Консультация психиатра.</w:t>
            </w:r>
          </w:p>
          <w:p w:rsidR="00A97587" w:rsidRPr="003F52C2" w:rsidRDefault="00A97587" w:rsidP="002C7D0F">
            <w:pPr>
              <w:pStyle w:val="a0"/>
            </w:pPr>
            <w:r w:rsidRPr="003F52C2">
              <w:t>3. Противосудорожная терапия (фенитоин, вальпроевая кислота) по рекомендации психиатра.</w:t>
            </w:r>
          </w:p>
          <w:p w:rsidR="00A97587" w:rsidRPr="003F52C2" w:rsidRDefault="00A97587" w:rsidP="002C7D0F">
            <w:pPr>
              <w:pStyle w:val="a0"/>
            </w:pPr>
            <w:r w:rsidRPr="003F52C2">
              <w:t xml:space="preserve">3. Назначить Пиридоксин в максимальной суточной дозе (200 мг в день). </w:t>
            </w:r>
          </w:p>
          <w:p w:rsidR="00A97587" w:rsidRPr="003F52C2" w:rsidRDefault="00A97587" w:rsidP="002C7D0F">
            <w:pPr>
              <w:pStyle w:val="a0"/>
            </w:pPr>
            <w:r w:rsidRPr="003F52C2">
              <w:t xml:space="preserve">4. Возобновить прием препарата или снизить его дозу. </w:t>
            </w:r>
          </w:p>
          <w:p w:rsidR="00A97587" w:rsidRPr="003F52C2" w:rsidRDefault="00A97587" w:rsidP="002C7D0F">
            <w:pPr>
              <w:pStyle w:val="a0"/>
            </w:pPr>
            <w:r w:rsidRPr="003F52C2">
              <w:t>5. Прекратить назначение препарата, если это не повредит лечению.</w:t>
            </w:r>
          </w:p>
        </w:tc>
      </w:tr>
      <w:tr w:rsidR="00A97587" w:rsidRPr="003F52C2" w:rsidTr="00F5134B">
        <w:trPr>
          <w:jc w:val="center"/>
        </w:trPr>
        <w:tc>
          <w:tcPr>
            <w:tcW w:w="1323" w:type="dxa"/>
          </w:tcPr>
          <w:p w:rsidR="00A97587" w:rsidRPr="003F52C2" w:rsidRDefault="00A97587" w:rsidP="002C7D0F">
            <w:pPr>
              <w:pStyle w:val="a0"/>
            </w:pPr>
            <w:r w:rsidRPr="003F52C2">
              <w:t xml:space="preserve">6.2. </w:t>
            </w:r>
            <w:r>
              <w:t>Перифери-</w:t>
            </w:r>
            <w:r w:rsidRPr="003F52C2">
              <w:t>ческая нейропатия</w:t>
            </w:r>
          </w:p>
        </w:tc>
        <w:tc>
          <w:tcPr>
            <w:tcW w:w="1320" w:type="dxa"/>
          </w:tcPr>
          <w:p w:rsidR="00A97587" w:rsidRPr="003F52C2" w:rsidRDefault="00A97587" w:rsidP="002C7D0F">
            <w:pPr>
              <w:pStyle w:val="a0"/>
              <w:rPr>
                <w:lang w:val="pt-BR"/>
              </w:rPr>
            </w:pPr>
            <w:r w:rsidRPr="003F52C2">
              <w:rPr>
                <w:lang w:val="pt-BR"/>
              </w:rPr>
              <w:t>Cs, H, S, Km, Am, Cm, Eto/Pto, Fq</w:t>
            </w:r>
          </w:p>
        </w:tc>
        <w:tc>
          <w:tcPr>
            <w:tcW w:w="7377" w:type="dxa"/>
          </w:tcPr>
          <w:p w:rsidR="00A97587" w:rsidRPr="003F52C2" w:rsidRDefault="00A97587" w:rsidP="002C7D0F">
            <w:pPr>
              <w:pStyle w:val="a0"/>
            </w:pPr>
            <w:r w:rsidRPr="003F52C2">
              <w:t>Для снижения токсического действия фторхинолонов и циклосерина  применять с профилактической целью глицин (3 таблетки в день) и глютаминовую кислоту (6 таблеток в день).</w:t>
            </w:r>
          </w:p>
          <w:p w:rsidR="00A97587" w:rsidRPr="003F52C2" w:rsidRDefault="00A97587" w:rsidP="002C7D0F">
            <w:pPr>
              <w:pStyle w:val="a0"/>
            </w:pPr>
            <w:r w:rsidRPr="003F52C2">
              <w:t>1. Назначить пиридоксин в максимальной суточной дозе (200 мг в день).</w:t>
            </w:r>
          </w:p>
          <w:p w:rsidR="00A97587" w:rsidRPr="003F52C2" w:rsidRDefault="00A97587" w:rsidP="002C7D0F">
            <w:pPr>
              <w:pStyle w:val="a0"/>
            </w:pPr>
            <w:r w:rsidRPr="003F52C2">
              <w:t>2. Заменить аминогликозид на капреомицин, если к нему сохранена чувствительность.</w:t>
            </w:r>
          </w:p>
          <w:p w:rsidR="00A97587" w:rsidRPr="003F52C2" w:rsidRDefault="00A97587" w:rsidP="002C7D0F">
            <w:pPr>
              <w:pStyle w:val="a0"/>
              <w:rPr>
                <w:i/>
              </w:rPr>
            </w:pPr>
            <w:r w:rsidRPr="003F52C2">
              <w:t xml:space="preserve">3. Начать терапию трициклическими антидепрессантами типа амитриптилина, нестероидными противовоспалительными препаратами. </w:t>
            </w:r>
          </w:p>
          <w:p w:rsidR="00A97587" w:rsidRPr="003F52C2" w:rsidRDefault="00A97587" w:rsidP="002C7D0F">
            <w:pPr>
              <w:pStyle w:val="a0"/>
            </w:pPr>
            <w:r w:rsidRPr="003F52C2">
              <w:t>4. Снизить дозу соответствующего препарата.</w:t>
            </w:r>
          </w:p>
          <w:p w:rsidR="00A97587" w:rsidRPr="003F52C2" w:rsidRDefault="00A97587" w:rsidP="002C7D0F">
            <w:pPr>
              <w:pStyle w:val="a0"/>
            </w:pPr>
            <w:r w:rsidRPr="003F52C2">
              <w:t xml:space="preserve"> 5. При неустранимых побочных действиях отменить препарат.</w:t>
            </w:r>
          </w:p>
        </w:tc>
      </w:tr>
      <w:tr w:rsidR="00A97587" w:rsidRPr="003F52C2" w:rsidTr="00F5134B">
        <w:trPr>
          <w:jc w:val="center"/>
        </w:trPr>
        <w:tc>
          <w:tcPr>
            <w:tcW w:w="1323" w:type="dxa"/>
          </w:tcPr>
          <w:p w:rsidR="00A97587" w:rsidRPr="003F52C2" w:rsidRDefault="00A97587" w:rsidP="002C7D0F">
            <w:pPr>
              <w:pStyle w:val="a0"/>
            </w:pPr>
            <w:r w:rsidRPr="003F52C2">
              <w:t>6.3. Снижение слуха</w:t>
            </w:r>
          </w:p>
        </w:tc>
        <w:tc>
          <w:tcPr>
            <w:tcW w:w="1320" w:type="dxa"/>
          </w:tcPr>
          <w:p w:rsidR="00A97587" w:rsidRPr="003F52C2" w:rsidRDefault="00A97587" w:rsidP="002C7D0F">
            <w:pPr>
              <w:pStyle w:val="a0"/>
              <w:rPr>
                <w:lang w:val="en-US"/>
              </w:rPr>
            </w:pPr>
            <w:r w:rsidRPr="003F52C2">
              <w:rPr>
                <w:lang w:val="en-US"/>
              </w:rPr>
              <w:t>S, Km, Am, Cm, Clr.</w:t>
            </w:r>
          </w:p>
        </w:tc>
        <w:tc>
          <w:tcPr>
            <w:tcW w:w="7377" w:type="dxa"/>
          </w:tcPr>
          <w:p w:rsidR="00A97587" w:rsidRPr="003F52C2" w:rsidRDefault="00A97587" w:rsidP="002C7D0F">
            <w:pPr>
              <w:pStyle w:val="a0"/>
            </w:pPr>
            <w:r w:rsidRPr="003F52C2">
              <w:t>1. Провести аудиографию.</w:t>
            </w:r>
          </w:p>
          <w:p w:rsidR="00A97587" w:rsidRPr="003F52C2" w:rsidRDefault="00A97587" w:rsidP="002C7D0F">
            <w:pPr>
              <w:pStyle w:val="a0"/>
            </w:pPr>
            <w:r w:rsidRPr="003F52C2">
              <w:t>2. Назначить капреомицин, если к нему сохранена чувствительность.</w:t>
            </w:r>
          </w:p>
          <w:p w:rsidR="00A97587" w:rsidRPr="003F52C2" w:rsidRDefault="00A97587" w:rsidP="002C7D0F">
            <w:pPr>
              <w:pStyle w:val="a0"/>
            </w:pPr>
            <w:r w:rsidRPr="003F52C2">
              <w:t>3. Снизить дозу препарата или назначить интермиттирующий режим (3 раза в неделю).</w:t>
            </w:r>
          </w:p>
          <w:p w:rsidR="00A97587" w:rsidRPr="003F52C2" w:rsidRDefault="00A97587" w:rsidP="002C7D0F">
            <w:pPr>
              <w:pStyle w:val="a0"/>
            </w:pPr>
            <w:r w:rsidRPr="003F52C2">
              <w:t>4. При неустранимых побочных действиях отменить препарат.</w:t>
            </w:r>
          </w:p>
          <w:p w:rsidR="00A97587" w:rsidRPr="003F52C2" w:rsidRDefault="00A97587" w:rsidP="002C7D0F">
            <w:pPr>
              <w:pStyle w:val="a0"/>
            </w:pPr>
            <w:r w:rsidRPr="003F52C2">
              <w:t xml:space="preserve">5. Слухопротезирование при снижении слуха. </w:t>
            </w:r>
          </w:p>
        </w:tc>
      </w:tr>
      <w:tr w:rsidR="00A97587" w:rsidRPr="003F52C2" w:rsidTr="00F5134B">
        <w:trPr>
          <w:jc w:val="center"/>
        </w:trPr>
        <w:tc>
          <w:tcPr>
            <w:tcW w:w="1323" w:type="dxa"/>
          </w:tcPr>
          <w:p w:rsidR="00A97587" w:rsidRPr="003F52C2" w:rsidRDefault="00A97587" w:rsidP="002C7D0F">
            <w:pPr>
              <w:pStyle w:val="a0"/>
            </w:pPr>
            <w:r w:rsidRPr="003F52C2">
              <w:t>6.4. Психоз</w:t>
            </w:r>
          </w:p>
        </w:tc>
        <w:tc>
          <w:tcPr>
            <w:tcW w:w="1320" w:type="dxa"/>
          </w:tcPr>
          <w:p w:rsidR="00A97587" w:rsidRPr="003F52C2" w:rsidRDefault="00A97587" w:rsidP="002C7D0F">
            <w:pPr>
              <w:pStyle w:val="a0"/>
              <w:rPr>
                <w:lang w:val="pt-BR"/>
              </w:rPr>
            </w:pPr>
            <w:r w:rsidRPr="003F52C2">
              <w:rPr>
                <w:lang w:val="pt-BR"/>
              </w:rPr>
              <w:t>Cs, H, Fq,</w:t>
            </w:r>
          </w:p>
          <w:p w:rsidR="00A97587" w:rsidRPr="003F52C2" w:rsidRDefault="00A97587" w:rsidP="002C7D0F">
            <w:pPr>
              <w:pStyle w:val="a0"/>
              <w:rPr>
                <w:lang w:val="pt-BR"/>
              </w:rPr>
            </w:pPr>
            <w:r w:rsidRPr="003F52C2">
              <w:rPr>
                <w:lang w:val="pt-BR"/>
              </w:rPr>
              <w:t>Eto/Pto,</w:t>
            </w:r>
          </w:p>
        </w:tc>
        <w:tc>
          <w:tcPr>
            <w:tcW w:w="7377" w:type="dxa"/>
          </w:tcPr>
          <w:p w:rsidR="00A97587" w:rsidRDefault="00A97587" w:rsidP="002C7D0F">
            <w:pPr>
              <w:pStyle w:val="a0"/>
              <w:rPr>
                <w:b/>
                <w:i/>
              </w:rPr>
            </w:pPr>
            <w:r w:rsidRPr="003F52C2">
              <w:t>Для снижения токсического действия фторхинолонов и циклосерина  применять с профилактической целью глицин (3 таблетки в день) и глютаминовую кислоту (6 таблеток в день).</w:t>
            </w:r>
          </w:p>
          <w:p w:rsidR="00A97587" w:rsidRPr="003F52C2" w:rsidRDefault="00A97587" w:rsidP="002C7D0F">
            <w:pPr>
              <w:pStyle w:val="a0"/>
            </w:pPr>
            <w:r w:rsidRPr="003F52C2">
              <w:t xml:space="preserve"> 1. Отменить препарат до устранения симптомов психоза.</w:t>
            </w:r>
          </w:p>
          <w:p w:rsidR="00A97587" w:rsidRPr="003F52C2" w:rsidRDefault="00A97587" w:rsidP="002C7D0F">
            <w:pPr>
              <w:pStyle w:val="a0"/>
            </w:pPr>
            <w:r w:rsidRPr="003F52C2">
              <w:t>2. Назначить консультацию психиатра.</w:t>
            </w:r>
          </w:p>
          <w:p w:rsidR="00A97587" w:rsidRPr="003F52C2" w:rsidRDefault="00A97587" w:rsidP="002C7D0F">
            <w:pPr>
              <w:pStyle w:val="a0"/>
            </w:pPr>
            <w:r w:rsidRPr="003F52C2">
              <w:t>3. Начать лечение психоза по рекомендации психиатра (возможно на протяжении всего курса химиотерапии будет необходим прием психотропных препаратов).</w:t>
            </w:r>
          </w:p>
          <w:p w:rsidR="00A97587" w:rsidRPr="003F52C2" w:rsidRDefault="00A97587" w:rsidP="002C7D0F">
            <w:pPr>
              <w:pStyle w:val="a0"/>
            </w:pPr>
            <w:r w:rsidRPr="003F52C2">
              <w:t xml:space="preserve">4. Возобновить прием препарата или снизить его дозу. </w:t>
            </w:r>
          </w:p>
          <w:p w:rsidR="00A97587" w:rsidRPr="003F52C2" w:rsidRDefault="00A97587" w:rsidP="002C7D0F">
            <w:pPr>
              <w:pStyle w:val="a0"/>
            </w:pPr>
            <w:r w:rsidRPr="003F52C2">
              <w:t>5. При неустранимых побочных действиях отменить препарат.</w:t>
            </w:r>
          </w:p>
        </w:tc>
      </w:tr>
      <w:tr w:rsidR="00A97587" w:rsidRPr="003F52C2" w:rsidTr="00F5134B">
        <w:trPr>
          <w:jc w:val="center"/>
        </w:trPr>
        <w:tc>
          <w:tcPr>
            <w:tcW w:w="1323" w:type="dxa"/>
          </w:tcPr>
          <w:p w:rsidR="00A97587" w:rsidRPr="003F52C2" w:rsidRDefault="00A97587" w:rsidP="002C7D0F">
            <w:pPr>
              <w:pStyle w:val="a0"/>
            </w:pPr>
            <w:r w:rsidRPr="003F52C2">
              <w:t>6.5. Депрессия</w:t>
            </w:r>
          </w:p>
        </w:tc>
        <w:tc>
          <w:tcPr>
            <w:tcW w:w="1320" w:type="dxa"/>
          </w:tcPr>
          <w:p w:rsidR="00A97587" w:rsidRPr="003F52C2" w:rsidRDefault="00A97587" w:rsidP="002C7D0F">
            <w:pPr>
              <w:pStyle w:val="a0"/>
              <w:rPr>
                <w:lang w:val="pt-BR"/>
              </w:rPr>
            </w:pPr>
            <w:r w:rsidRPr="003F52C2">
              <w:rPr>
                <w:lang w:val="pt-BR"/>
              </w:rPr>
              <w:t>Cs, H, Eto/Pto, Fq</w:t>
            </w:r>
          </w:p>
        </w:tc>
        <w:tc>
          <w:tcPr>
            <w:tcW w:w="7377" w:type="dxa"/>
          </w:tcPr>
          <w:p w:rsidR="00A97587" w:rsidRPr="003F52C2" w:rsidRDefault="00A97587" w:rsidP="002C7D0F">
            <w:pPr>
              <w:pStyle w:val="a0"/>
            </w:pPr>
            <w:r w:rsidRPr="003F52C2">
              <w:t>Для снижения токсического действия фторхинолонов и циклосерина  применять с профилактической целью глицин (3 таблетки в день) и глютаминовую кислоту (6 таблеток в день).</w:t>
            </w:r>
          </w:p>
          <w:p w:rsidR="00A97587" w:rsidRPr="003F52C2" w:rsidRDefault="00A97587" w:rsidP="002C7D0F">
            <w:pPr>
              <w:pStyle w:val="a0"/>
            </w:pPr>
            <w:r w:rsidRPr="003F52C2">
              <w:t>1. Групповые или индивидуальные консультации психолога.</w:t>
            </w:r>
          </w:p>
          <w:p w:rsidR="00A97587" w:rsidRPr="003F52C2" w:rsidRDefault="00A97587" w:rsidP="002C7D0F">
            <w:pPr>
              <w:pStyle w:val="a0"/>
            </w:pPr>
            <w:r w:rsidRPr="003F52C2">
              <w:t>2. Консультация психиатра.</w:t>
            </w:r>
          </w:p>
          <w:p w:rsidR="00A97587" w:rsidRPr="003F52C2" w:rsidRDefault="00A97587" w:rsidP="002C7D0F">
            <w:pPr>
              <w:pStyle w:val="a0"/>
            </w:pPr>
            <w:r w:rsidRPr="003F52C2">
              <w:t>3. Назначить антидепрессивную терапию по рекомендации психиатра</w:t>
            </w:r>
          </w:p>
          <w:p w:rsidR="00A97587" w:rsidRPr="003F52C2" w:rsidRDefault="00A97587" w:rsidP="002C7D0F">
            <w:pPr>
              <w:pStyle w:val="a0"/>
            </w:pPr>
            <w:r w:rsidRPr="003F52C2">
              <w:t>(прозак, амитриптилин)</w:t>
            </w:r>
          </w:p>
          <w:p w:rsidR="00A97587" w:rsidRPr="003F52C2" w:rsidRDefault="00A97587" w:rsidP="002C7D0F">
            <w:pPr>
              <w:pStyle w:val="a0"/>
            </w:pPr>
            <w:r w:rsidRPr="003F52C2">
              <w:t>3. Снизить дозу соответствующего препарата.</w:t>
            </w:r>
          </w:p>
          <w:p w:rsidR="00A97587" w:rsidRPr="003F52C2" w:rsidRDefault="00A97587" w:rsidP="002C7D0F">
            <w:pPr>
              <w:pStyle w:val="a0"/>
            </w:pPr>
            <w:r w:rsidRPr="003F52C2">
              <w:t>4. При неустранимых побочных действиях отменить препарат.</w:t>
            </w:r>
          </w:p>
        </w:tc>
      </w:tr>
      <w:tr w:rsidR="00A97587" w:rsidRPr="003F52C2" w:rsidTr="00F5134B">
        <w:trPr>
          <w:jc w:val="center"/>
        </w:trPr>
        <w:tc>
          <w:tcPr>
            <w:tcW w:w="1323" w:type="dxa"/>
          </w:tcPr>
          <w:p w:rsidR="00A97587" w:rsidRPr="003F52C2" w:rsidRDefault="00A97587" w:rsidP="002C7D0F">
            <w:pPr>
              <w:pStyle w:val="a0"/>
            </w:pPr>
            <w:r w:rsidRPr="003F52C2">
              <w:t>6.6. Гипотиреоз</w:t>
            </w:r>
          </w:p>
        </w:tc>
        <w:tc>
          <w:tcPr>
            <w:tcW w:w="1320" w:type="dxa"/>
          </w:tcPr>
          <w:p w:rsidR="00A97587" w:rsidRPr="003F52C2" w:rsidRDefault="00A97587" w:rsidP="002C7D0F">
            <w:pPr>
              <w:pStyle w:val="a0"/>
            </w:pPr>
            <w:r w:rsidRPr="003F52C2">
              <w:rPr>
                <w:lang w:val="es-PE"/>
              </w:rPr>
              <w:t>PAS</w:t>
            </w:r>
            <w:r w:rsidRPr="003F52C2">
              <w:t xml:space="preserve">, </w:t>
            </w:r>
            <w:r w:rsidRPr="003F52C2">
              <w:rPr>
                <w:lang w:val="en-US"/>
              </w:rPr>
              <w:t>Eto</w:t>
            </w:r>
            <w:r w:rsidRPr="003F52C2">
              <w:t>/</w:t>
            </w:r>
            <w:r w:rsidRPr="003F52C2">
              <w:rPr>
                <w:lang w:val="en-US"/>
              </w:rPr>
              <w:t>Pto</w:t>
            </w:r>
          </w:p>
        </w:tc>
        <w:tc>
          <w:tcPr>
            <w:tcW w:w="7377" w:type="dxa"/>
          </w:tcPr>
          <w:p w:rsidR="00A97587" w:rsidRPr="003F52C2" w:rsidRDefault="00A97587" w:rsidP="002C7D0F">
            <w:pPr>
              <w:pStyle w:val="a0"/>
            </w:pPr>
            <w:r w:rsidRPr="003F52C2">
              <w:t>1. Исследовать уровень гормонов щитовидной железы.</w:t>
            </w:r>
          </w:p>
          <w:p w:rsidR="00A97587" w:rsidRPr="003F52C2" w:rsidRDefault="00A97587" w:rsidP="002C7D0F">
            <w:pPr>
              <w:pStyle w:val="a0"/>
            </w:pPr>
            <w:r w:rsidRPr="003F52C2">
              <w:t>2. Назначить консультацию эндокринолога.</w:t>
            </w:r>
          </w:p>
          <w:p w:rsidR="00A97587" w:rsidRPr="003F52C2" w:rsidRDefault="00A97587" w:rsidP="002C7D0F">
            <w:pPr>
              <w:pStyle w:val="a0"/>
            </w:pPr>
            <w:r w:rsidRPr="003F52C2">
              <w:t>3. Назначить курс лечения тироксином по рекомендации эндокринолога.</w:t>
            </w:r>
          </w:p>
        </w:tc>
      </w:tr>
      <w:tr w:rsidR="00A97587" w:rsidRPr="003F52C2" w:rsidTr="00F5134B">
        <w:trPr>
          <w:jc w:val="center"/>
        </w:trPr>
        <w:tc>
          <w:tcPr>
            <w:tcW w:w="1323" w:type="dxa"/>
          </w:tcPr>
          <w:p w:rsidR="00A97587" w:rsidRPr="003F52C2" w:rsidRDefault="00A97587" w:rsidP="002C7D0F">
            <w:pPr>
              <w:pStyle w:val="a0"/>
            </w:pPr>
            <w:r w:rsidRPr="003F52C2">
              <w:t>6.7. Тошнота и рвота</w:t>
            </w:r>
          </w:p>
        </w:tc>
        <w:tc>
          <w:tcPr>
            <w:tcW w:w="1320" w:type="dxa"/>
          </w:tcPr>
          <w:p w:rsidR="00A97587" w:rsidRPr="003F52C2" w:rsidRDefault="00A97587" w:rsidP="002C7D0F">
            <w:pPr>
              <w:pStyle w:val="a0"/>
              <w:rPr>
                <w:lang w:val="pt-BR"/>
              </w:rPr>
            </w:pPr>
            <w:r w:rsidRPr="003F52C2">
              <w:rPr>
                <w:lang w:val="pt-BR"/>
              </w:rPr>
              <w:t>R, PAS, Eto/Pto, H, E, Z</w:t>
            </w:r>
            <w:r w:rsidRPr="00A0111B">
              <w:rPr>
                <w:lang w:val="pt-BR"/>
              </w:rPr>
              <w:t>, Bq</w:t>
            </w:r>
            <w:r w:rsidRPr="003F52C2">
              <w:rPr>
                <w:lang w:val="pt-BR"/>
              </w:rPr>
              <w:t>.</w:t>
            </w:r>
          </w:p>
        </w:tc>
        <w:tc>
          <w:tcPr>
            <w:tcW w:w="7377" w:type="dxa"/>
          </w:tcPr>
          <w:p w:rsidR="00A97587" w:rsidRPr="003F52C2" w:rsidRDefault="00A97587" w:rsidP="002C7D0F">
            <w:pPr>
              <w:pStyle w:val="a0"/>
            </w:pPr>
            <w:r w:rsidRPr="003F52C2">
              <w:t>1. Определить степень дегидратации, провести коррекцию нарушений водно-электролитного баланса.</w:t>
            </w:r>
          </w:p>
          <w:p w:rsidR="00A97587" w:rsidRPr="003F52C2" w:rsidRDefault="00A97587" w:rsidP="002C7D0F">
            <w:pPr>
              <w:pStyle w:val="a0"/>
            </w:pPr>
            <w:r w:rsidRPr="003F52C2">
              <w:t>2. Назначить противорвотную терапию (церукал).</w:t>
            </w:r>
          </w:p>
          <w:p w:rsidR="00A97587" w:rsidRPr="003F52C2" w:rsidRDefault="00A97587" w:rsidP="002C7D0F">
            <w:pPr>
              <w:pStyle w:val="a0"/>
            </w:pPr>
            <w:r w:rsidRPr="003F52C2">
              <w:t>3. При неустранимых побочных действиях отменить препарат.</w:t>
            </w:r>
          </w:p>
        </w:tc>
      </w:tr>
      <w:tr w:rsidR="00A97587" w:rsidRPr="003F52C2" w:rsidTr="00F5134B">
        <w:trPr>
          <w:jc w:val="center"/>
        </w:trPr>
        <w:tc>
          <w:tcPr>
            <w:tcW w:w="1323" w:type="dxa"/>
          </w:tcPr>
          <w:p w:rsidR="00A97587" w:rsidRPr="003F52C2" w:rsidRDefault="00A97587" w:rsidP="002C7D0F">
            <w:pPr>
              <w:pStyle w:val="a0"/>
            </w:pPr>
            <w:r w:rsidRPr="003F52C2">
              <w:t>6.8. Гастрит</w:t>
            </w:r>
          </w:p>
        </w:tc>
        <w:tc>
          <w:tcPr>
            <w:tcW w:w="1320" w:type="dxa"/>
          </w:tcPr>
          <w:p w:rsidR="00A97587" w:rsidRPr="003F52C2" w:rsidRDefault="00A97587" w:rsidP="002C7D0F">
            <w:pPr>
              <w:pStyle w:val="a0"/>
            </w:pPr>
            <w:r w:rsidRPr="003F52C2">
              <w:rPr>
                <w:lang w:val="en-US"/>
              </w:rPr>
              <w:t>Eto</w:t>
            </w:r>
            <w:r w:rsidRPr="003F52C2">
              <w:t>/</w:t>
            </w:r>
            <w:r w:rsidRPr="003F52C2">
              <w:rPr>
                <w:lang w:val="en-US"/>
              </w:rPr>
              <w:t>Pto</w:t>
            </w:r>
            <w:r w:rsidRPr="003F52C2">
              <w:t xml:space="preserve">, </w:t>
            </w:r>
            <w:r w:rsidRPr="003F52C2">
              <w:rPr>
                <w:lang w:val="es-PE"/>
              </w:rPr>
              <w:t>PAS</w:t>
            </w:r>
          </w:p>
        </w:tc>
        <w:tc>
          <w:tcPr>
            <w:tcW w:w="7377" w:type="dxa"/>
          </w:tcPr>
          <w:p w:rsidR="00A97587" w:rsidRPr="003F52C2" w:rsidRDefault="00A97587" w:rsidP="002C7D0F">
            <w:pPr>
              <w:pStyle w:val="a0"/>
            </w:pPr>
            <w:r w:rsidRPr="003F52C2">
              <w:t>1. Отменить соответствующие препараты на 1 – 7 дней.</w:t>
            </w:r>
          </w:p>
          <w:p w:rsidR="00A97587" w:rsidRPr="003F52C2" w:rsidRDefault="00A97587" w:rsidP="002C7D0F">
            <w:pPr>
              <w:pStyle w:val="a0"/>
            </w:pPr>
            <w:r w:rsidRPr="003F52C2">
              <w:t>2. Назначить Н2 – блокаторы, ингибиторы протонной помпы и/или антациды (антациды назначают за четыре часа до или через четыре часа после приема противотуберкулезных препаратов)</w:t>
            </w:r>
          </w:p>
          <w:p w:rsidR="00A97587" w:rsidRPr="003F52C2" w:rsidRDefault="00A97587" w:rsidP="002C7D0F">
            <w:pPr>
              <w:pStyle w:val="a0"/>
            </w:pPr>
            <w:r w:rsidRPr="003F52C2">
              <w:t>3. Снизить дозу соответствующего препарата.</w:t>
            </w:r>
          </w:p>
          <w:p w:rsidR="00A97587" w:rsidRPr="003F52C2" w:rsidRDefault="00A97587" w:rsidP="002C7D0F">
            <w:pPr>
              <w:pStyle w:val="a0"/>
            </w:pPr>
            <w:r w:rsidRPr="003F52C2">
              <w:t xml:space="preserve"> 4. При неустранимых побочных действиях отменить препарат.</w:t>
            </w:r>
          </w:p>
        </w:tc>
      </w:tr>
      <w:tr w:rsidR="00A97587" w:rsidRPr="003F52C2" w:rsidTr="00F5134B">
        <w:trPr>
          <w:jc w:val="center"/>
        </w:trPr>
        <w:tc>
          <w:tcPr>
            <w:tcW w:w="1323" w:type="dxa"/>
          </w:tcPr>
          <w:p w:rsidR="00A97587" w:rsidRPr="003F52C2" w:rsidRDefault="00A97587" w:rsidP="002C7D0F">
            <w:pPr>
              <w:pStyle w:val="a0"/>
            </w:pPr>
            <w:r w:rsidRPr="003F52C2">
              <w:t>6.9. Гепатит</w:t>
            </w:r>
          </w:p>
        </w:tc>
        <w:tc>
          <w:tcPr>
            <w:tcW w:w="1320" w:type="dxa"/>
          </w:tcPr>
          <w:p w:rsidR="00A97587" w:rsidRPr="00A0111B" w:rsidRDefault="00A97587" w:rsidP="002C7D0F">
            <w:pPr>
              <w:pStyle w:val="a0"/>
              <w:rPr>
                <w:lang w:val="pt-BR"/>
              </w:rPr>
            </w:pPr>
            <w:r w:rsidRPr="003F52C2">
              <w:rPr>
                <w:lang w:val="pt-BR"/>
              </w:rPr>
              <w:t xml:space="preserve">Z, H, R, Eto/Pto, PAS, </w:t>
            </w:r>
            <w:r w:rsidRPr="003F52C2">
              <w:t>Е</w:t>
            </w:r>
            <w:r w:rsidRPr="003F52C2">
              <w:rPr>
                <w:lang w:val="pt-BR"/>
              </w:rPr>
              <w:t xml:space="preserve"> , Fq</w:t>
            </w:r>
            <w:r w:rsidRPr="00A0111B">
              <w:rPr>
                <w:lang w:val="pt-BR"/>
              </w:rPr>
              <w:t>, Bq</w:t>
            </w:r>
          </w:p>
        </w:tc>
        <w:tc>
          <w:tcPr>
            <w:tcW w:w="7377" w:type="dxa"/>
          </w:tcPr>
          <w:p w:rsidR="00A97587" w:rsidRPr="003F52C2" w:rsidRDefault="00A97587" w:rsidP="002C7D0F">
            <w:pPr>
              <w:pStyle w:val="a0"/>
            </w:pPr>
            <w:r w:rsidRPr="003F52C2">
              <w:t>Для предотвращения токсического действия на печень с профилактической целью применять гепатопротекторы.</w:t>
            </w:r>
          </w:p>
          <w:p w:rsidR="00A97587" w:rsidRPr="003F52C2" w:rsidRDefault="00A97587" w:rsidP="002C7D0F">
            <w:pPr>
              <w:pStyle w:val="a0"/>
            </w:pPr>
            <w:r w:rsidRPr="003F52C2">
              <w:t xml:space="preserve">1. При повышении уровня трансаминаз в 4 и более раз прекратить химиотерапию до разрешения гепатита. </w:t>
            </w:r>
          </w:p>
          <w:p w:rsidR="00A97587" w:rsidRPr="003F52C2" w:rsidRDefault="00A97587" w:rsidP="002C7D0F">
            <w:pPr>
              <w:pStyle w:val="a0"/>
            </w:pPr>
            <w:r w:rsidRPr="003F52C2">
              <w:t>2. Исключить другие вероятные причины гепатита.</w:t>
            </w:r>
          </w:p>
          <w:p w:rsidR="00A97587" w:rsidRPr="003F52C2" w:rsidRDefault="00A97587" w:rsidP="002C7D0F">
            <w:pPr>
              <w:pStyle w:val="a0"/>
            </w:pPr>
            <w:r w:rsidRPr="003F52C2">
              <w:t>3. Провести дезинтоксикационную и гепатопротекторную терапию.</w:t>
            </w:r>
          </w:p>
          <w:p w:rsidR="00A97587" w:rsidRPr="003F52C2" w:rsidRDefault="00A97587" w:rsidP="002C7D0F">
            <w:pPr>
              <w:pStyle w:val="a0"/>
            </w:pPr>
            <w:r w:rsidRPr="003F52C2">
              <w:t>4. Исключить наиболее гепатотоксичные препараты</w:t>
            </w:r>
          </w:p>
          <w:p w:rsidR="00A97587" w:rsidRPr="003F52C2" w:rsidRDefault="00A97587" w:rsidP="002C7D0F">
            <w:pPr>
              <w:pStyle w:val="a0"/>
            </w:pPr>
            <w:r w:rsidRPr="003F52C2">
              <w:t xml:space="preserve">5. Возобновить прием остальных противотуберкулезных препаратов под строгим контролем функции печени. </w:t>
            </w:r>
          </w:p>
        </w:tc>
      </w:tr>
      <w:tr w:rsidR="00A97587" w:rsidRPr="003F52C2" w:rsidTr="00F5134B">
        <w:trPr>
          <w:jc w:val="center"/>
        </w:trPr>
        <w:tc>
          <w:tcPr>
            <w:tcW w:w="1323" w:type="dxa"/>
          </w:tcPr>
          <w:p w:rsidR="00A97587" w:rsidRPr="003F52C2" w:rsidRDefault="00A97587" w:rsidP="002C7D0F">
            <w:pPr>
              <w:pStyle w:val="a0"/>
            </w:pPr>
            <w:r w:rsidRPr="003F52C2">
              <w:t>6.10. Нефротоксичность</w:t>
            </w:r>
          </w:p>
        </w:tc>
        <w:tc>
          <w:tcPr>
            <w:tcW w:w="1320" w:type="dxa"/>
          </w:tcPr>
          <w:p w:rsidR="00A97587" w:rsidRPr="003F52C2" w:rsidRDefault="00A97587" w:rsidP="002C7D0F">
            <w:pPr>
              <w:pStyle w:val="a0"/>
              <w:rPr>
                <w:lang w:val="es-PE"/>
              </w:rPr>
            </w:pPr>
            <w:r w:rsidRPr="003F52C2">
              <w:rPr>
                <w:lang w:val="es-PE"/>
              </w:rPr>
              <w:t>S, Km, Am, Cm</w:t>
            </w:r>
          </w:p>
        </w:tc>
        <w:tc>
          <w:tcPr>
            <w:tcW w:w="7377" w:type="dxa"/>
          </w:tcPr>
          <w:p w:rsidR="00A97587" w:rsidRPr="003F52C2" w:rsidRDefault="00A97587" w:rsidP="002C7D0F">
            <w:pPr>
              <w:pStyle w:val="a0"/>
            </w:pPr>
            <w:r w:rsidRPr="003F52C2">
              <w:t>1. Отменить соответствующий препарат.</w:t>
            </w:r>
          </w:p>
          <w:p w:rsidR="00A97587" w:rsidRPr="003F52C2" w:rsidRDefault="00A97587" w:rsidP="002C7D0F">
            <w:pPr>
              <w:pStyle w:val="a0"/>
            </w:pPr>
            <w:r w:rsidRPr="003F52C2">
              <w:t xml:space="preserve">2. Решить вопрос о применении капреомицина, если ранее назначались аминогликозиды. </w:t>
            </w:r>
          </w:p>
          <w:p w:rsidR="00A97587" w:rsidRPr="003F52C2" w:rsidRDefault="00A97587" w:rsidP="002C7D0F">
            <w:pPr>
              <w:pStyle w:val="a0"/>
            </w:pPr>
            <w:r w:rsidRPr="003F52C2">
              <w:t>3. Назначить препарат 2 или 3 раза в неделю под контролем функции почек</w:t>
            </w:r>
          </w:p>
          <w:p w:rsidR="00A97587" w:rsidRPr="003F52C2" w:rsidRDefault="00A97587" w:rsidP="002C7D0F">
            <w:pPr>
              <w:pStyle w:val="a0"/>
            </w:pPr>
            <w:r w:rsidRPr="003F52C2">
              <w:t>4. Уточнить влияние всех других противотуберкулезных препаратов на клиренс креатинина.</w:t>
            </w:r>
          </w:p>
        </w:tc>
      </w:tr>
      <w:tr w:rsidR="00A97587" w:rsidRPr="003F52C2" w:rsidTr="00F5134B">
        <w:trPr>
          <w:jc w:val="center"/>
        </w:trPr>
        <w:tc>
          <w:tcPr>
            <w:tcW w:w="1323" w:type="dxa"/>
          </w:tcPr>
          <w:p w:rsidR="00A97587" w:rsidRPr="003F52C2" w:rsidRDefault="00A97587" w:rsidP="002C7D0F">
            <w:pPr>
              <w:pStyle w:val="a0"/>
            </w:pPr>
            <w:r w:rsidRPr="003F52C2">
              <w:t>6.11. Нарушения состава электро-литов (снижение уровня калия и магния)</w:t>
            </w:r>
          </w:p>
        </w:tc>
        <w:tc>
          <w:tcPr>
            <w:tcW w:w="1320" w:type="dxa"/>
          </w:tcPr>
          <w:p w:rsidR="00A97587" w:rsidRPr="003F52C2" w:rsidRDefault="00A97587" w:rsidP="002C7D0F">
            <w:pPr>
              <w:pStyle w:val="a0"/>
              <w:rPr>
                <w:lang w:val="es-PE"/>
              </w:rPr>
            </w:pPr>
            <w:r w:rsidRPr="003F52C2">
              <w:t xml:space="preserve"> </w:t>
            </w:r>
            <w:r w:rsidRPr="003F52C2">
              <w:rPr>
                <w:lang w:val="es-PE"/>
              </w:rPr>
              <w:t>Cm, Km, Am, S</w:t>
            </w:r>
          </w:p>
        </w:tc>
        <w:tc>
          <w:tcPr>
            <w:tcW w:w="7377" w:type="dxa"/>
          </w:tcPr>
          <w:p w:rsidR="00A97587" w:rsidRPr="003F52C2" w:rsidRDefault="00A97587" w:rsidP="002C7D0F">
            <w:pPr>
              <w:pStyle w:val="a0"/>
            </w:pPr>
            <w:r w:rsidRPr="003F52C2">
              <w:t>1. Определить уровень калия в сыворотке крови.</w:t>
            </w:r>
          </w:p>
          <w:p w:rsidR="00A97587" w:rsidRPr="003F52C2" w:rsidRDefault="00A97587" w:rsidP="002C7D0F">
            <w:pPr>
              <w:pStyle w:val="a0"/>
            </w:pPr>
            <w:r w:rsidRPr="003F52C2">
              <w:t>2. При снижении уровня калия исследовать также и уровень магния, а при показаниях ещё и кальция.</w:t>
            </w:r>
          </w:p>
          <w:p w:rsidR="00A97587" w:rsidRPr="003F52C2" w:rsidRDefault="00A97587" w:rsidP="002C7D0F">
            <w:pPr>
              <w:pStyle w:val="a0"/>
            </w:pPr>
            <w:r w:rsidRPr="003F52C2">
              <w:t>3. Компенсировать сдвиги электролитного состава препаратами калия, магния, кальция</w:t>
            </w:r>
          </w:p>
        </w:tc>
      </w:tr>
      <w:tr w:rsidR="00A97587" w:rsidRPr="003F52C2" w:rsidTr="00F5134B">
        <w:trPr>
          <w:jc w:val="center"/>
        </w:trPr>
        <w:tc>
          <w:tcPr>
            <w:tcW w:w="1323" w:type="dxa"/>
          </w:tcPr>
          <w:p w:rsidR="00A97587" w:rsidRPr="003F52C2" w:rsidRDefault="00A97587" w:rsidP="002C7D0F">
            <w:pPr>
              <w:pStyle w:val="a0"/>
            </w:pPr>
            <w:r w:rsidRPr="003F52C2">
              <w:t>6.12. Неврит зрительного нерва</w:t>
            </w:r>
          </w:p>
        </w:tc>
        <w:tc>
          <w:tcPr>
            <w:tcW w:w="1320" w:type="dxa"/>
          </w:tcPr>
          <w:p w:rsidR="00A97587" w:rsidRPr="003F52C2" w:rsidRDefault="00A97587" w:rsidP="002C7D0F">
            <w:pPr>
              <w:pStyle w:val="a0"/>
              <w:rPr>
                <w:lang w:val="es-PE"/>
              </w:rPr>
            </w:pPr>
            <w:r w:rsidRPr="003F52C2">
              <w:rPr>
                <w:lang w:val="es-PE"/>
              </w:rPr>
              <w:t xml:space="preserve"> Е</w:t>
            </w:r>
          </w:p>
        </w:tc>
        <w:tc>
          <w:tcPr>
            <w:tcW w:w="7377" w:type="dxa"/>
          </w:tcPr>
          <w:p w:rsidR="00A97587" w:rsidRPr="003F52C2" w:rsidRDefault="00A97587" w:rsidP="002C7D0F">
            <w:pPr>
              <w:pStyle w:val="a0"/>
            </w:pPr>
            <w:r w:rsidRPr="003F52C2">
              <w:t>1. Отменить этамбутол.</w:t>
            </w:r>
          </w:p>
          <w:p w:rsidR="00A97587" w:rsidRPr="003F52C2" w:rsidRDefault="00A97587" w:rsidP="002C7D0F">
            <w:pPr>
              <w:pStyle w:val="a0"/>
            </w:pPr>
            <w:r w:rsidRPr="003F52C2">
              <w:t>2. Назначить консультацию офтальмолога.</w:t>
            </w:r>
          </w:p>
          <w:p w:rsidR="00A97587" w:rsidRPr="003F52C2" w:rsidRDefault="00A97587" w:rsidP="002C7D0F">
            <w:pPr>
              <w:pStyle w:val="a0"/>
            </w:pPr>
            <w:r w:rsidRPr="003F52C2">
              <w:t>3. При подтверждении диагноза препарат исключить</w:t>
            </w:r>
          </w:p>
        </w:tc>
      </w:tr>
      <w:tr w:rsidR="00A97587" w:rsidRPr="003F52C2" w:rsidTr="00F5134B">
        <w:trPr>
          <w:jc w:val="center"/>
        </w:trPr>
        <w:tc>
          <w:tcPr>
            <w:tcW w:w="1323" w:type="dxa"/>
          </w:tcPr>
          <w:p w:rsidR="00A97587" w:rsidRPr="003F52C2" w:rsidRDefault="00A97587" w:rsidP="002C7D0F">
            <w:pPr>
              <w:pStyle w:val="a0"/>
            </w:pPr>
            <w:r w:rsidRPr="003F52C2">
              <w:t>6.13. Артралгия</w:t>
            </w:r>
          </w:p>
        </w:tc>
        <w:tc>
          <w:tcPr>
            <w:tcW w:w="1320" w:type="dxa"/>
          </w:tcPr>
          <w:p w:rsidR="00A97587" w:rsidRPr="00C77C63" w:rsidRDefault="00A97587" w:rsidP="002C7D0F">
            <w:pPr>
              <w:pStyle w:val="a0"/>
            </w:pPr>
            <w:r w:rsidRPr="003F52C2">
              <w:rPr>
                <w:lang w:val="es-PE"/>
              </w:rPr>
              <w:t>Z</w:t>
            </w:r>
            <w:r w:rsidRPr="003F52C2">
              <w:t xml:space="preserve">, </w:t>
            </w:r>
            <w:r w:rsidRPr="003F52C2">
              <w:rPr>
                <w:lang w:val="es-PE"/>
              </w:rPr>
              <w:t>Fq</w:t>
            </w:r>
            <w:r>
              <w:t xml:space="preserve">, </w:t>
            </w:r>
            <w:r>
              <w:rPr>
                <w:lang w:val="en-US"/>
              </w:rPr>
              <w:t>Bq</w:t>
            </w:r>
          </w:p>
        </w:tc>
        <w:tc>
          <w:tcPr>
            <w:tcW w:w="7377" w:type="dxa"/>
          </w:tcPr>
          <w:p w:rsidR="00A97587" w:rsidRPr="003F52C2" w:rsidRDefault="00A97587" w:rsidP="002C7D0F">
            <w:pPr>
              <w:pStyle w:val="a0"/>
            </w:pPr>
            <w:r w:rsidRPr="003F52C2">
              <w:t>1.Назначить лечение нестероидными противовоспалительными препаратами.</w:t>
            </w:r>
          </w:p>
          <w:p w:rsidR="00A97587" w:rsidRPr="003F52C2" w:rsidRDefault="00A97587" w:rsidP="002C7D0F">
            <w:pPr>
              <w:pStyle w:val="a0"/>
            </w:pPr>
            <w:r w:rsidRPr="003F52C2">
              <w:t xml:space="preserve">2. Снизить дозу соответствующего препарата. </w:t>
            </w:r>
          </w:p>
          <w:p w:rsidR="00A97587" w:rsidRPr="003F52C2" w:rsidRDefault="00A97587" w:rsidP="002C7D0F">
            <w:pPr>
              <w:pStyle w:val="a0"/>
            </w:pPr>
            <w:r w:rsidRPr="003F52C2">
              <w:t>3. При неустранимых побочных действиях отменить препарат.</w:t>
            </w:r>
          </w:p>
        </w:tc>
      </w:tr>
    </w:tbl>
    <w:p w:rsidR="00A97587" w:rsidRPr="001B6517" w:rsidRDefault="00A97587" w:rsidP="00136C1B">
      <w:pPr>
        <w:pStyle w:val="Heading2"/>
        <w:numPr>
          <w:ilvl w:val="1"/>
          <w:numId w:val="16"/>
        </w:numPr>
        <w:ind w:left="0" w:firstLine="0"/>
      </w:pPr>
      <w:bookmarkStart w:id="103" w:name="_Toc373847391"/>
      <w:bookmarkStart w:id="104" w:name="_Toc374016071"/>
      <w:r w:rsidRPr="001B6517">
        <w:t>Химиопрофилактика туберкулеза у больных ВИЧ-инфекцией</w:t>
      </w:r>
      <w:bookmarkEnd w:id="103"/>
      <w:bookmarkEnd w:id="104"/>
    </w:p>
    <w:p w:rsidR="00A97587" w:rsidRPr="00192261" w:rsidRDefault="00A97587" w:rsidP="000B4017">
      <w:pPr>
        <w:pStyle w:val="BodyText"/>
        <w:rPr>
          <w:lang w:val="ru-RU"/>
        </w:rPr>
      </w:pPr>
      <w:r w:rsidRPr="00192261">
        <w:rPr>
          <w:lang w:val="ru-RU"/>
        </w:rPr>
        <w:t>Больным ВИЧ–инфекцией рекомендуется химиопрофилактика изониазидом  в течение не менее 6 месяцев и раннее назначение АРВТ до возникновения выраженного иммунодефицита и развития вторичных заболеваний.</w:t>
      </w:r>
    </w:p>
    <w:p w:rsidR="00A97587" w:rsidRPr="00192261" w:rsidRDefault="00A97587" w:rsidP="000B4017">
      <w:pPr>
        <w:pStyle w:val="BodyText"/>
        <w:rPr>
          <w:lang w:val="ru-RU"/>
        </w:rPr>
      </w:pPr>
      <w:r w:rsidRPr="00192261">
        <w:rPr>
          <w:lang w:val="ru-RU"/>
        </w:rPr>
        <w:t>Необходимо интенсивное выявление случаев туберкулеза у больных ВИЧ-инфекцией, предоставление противотуберкулезного лечения надлежащего качества и строгое соблюдение мер инфекционного контроля.</w:t>
      </w:r>
    </w:p>
    <w:p w:rsidR="00A97587" w:rsidRPr="001B6517" w:rsidRDefault="00A97587" w:rsidP="00136C1B">
      <w:pPr>
        <w:pStyle w:val="Heading2"/>
        <w:numPr>
          <w:ilvl w:val="1"/>
          <w:numId w:val="16"/>
        </w:numPr>
        <w:ind w:left="0" w:firstLine="0"/>
      </w:pPr>
      <w:bookmarkStart w:id="105" w:name="_Toc373846976"/>
      <w:bookmarkStart w:id="106" w:name="_Toc373847392"/>
      <w:bookmarkStart w:id="107" w:name="_Toc373847461"/>
      <w:bookmarkStart w:id="108" w:name="_Toc373847514"/>
      <w:bookmarkEnd w:id="105"/>
      <w:bookmarkEnd w:id="106"/>
      <w:bookmarkEnd w:id="107"/>
      <w:bookmarkEnd w:id="108"/>
      <w:r w:rsidRPr="001B6517">
        <w:t xml:space="preserve"> </w:t>
      </w:r>
      <w:bookmarkStart w:id="109" w:name="_Toc373847393"/>
      <w:bookmarkStart w:id="110" w:name="_Toc374016072"/>
      <w:r w:rsidRPr="001B6517">
        <w:t>Организация мониторинга за лечением туберкулеза</w:t>
      </w:r>
      <w:bookmarkEnd w:id="109"/>
      <w:bookmarkEnd w:id="110"/>
    </w:p>
    <w:p w:rsidR="00A97587" w:rsidRPr="001B6517" w:rsidRDefault="00A97587" w:rsidP="000B4017">
      <w:pPr>
        <w:pStyle w:val="ConsPlusNormal"/>
        <w:widowControl/>
        <w:ind w:firstLine="709"/>
        <w:jc w:val="both"/>
        <w:rPr>
          <w:rFonts w:ascii="Calibri" w:hAnsi="Calibri" w:cs="Times New Roman"/>
          <w:b/>
          <w:i/>
          <w:sz w:val="24"/>
          <w:szCs w:val="24"/>
        </w:rPr>
      </w:pPr>
      <w:r w:rsidRPr="001B6517">
        <w:rPr>
          <w:rFonts w:ascii="Calibri" w:hAnsi="Calibri" w:cs="Times New Roman"/>
          <w:b/>
          <w:i/>
          <w:sz w:val="24"/>
          <w:szCs w:val="24"/>
        </w:rPr>
        <w:t>Цели мониторинга:</w:t>
      </w:r>
    </w:p>
    <w:p w:rsidR="00A97587" w:rsidRPr="001B6517" w:rsidRDefault="00A97587" w:rsidP="004E572C">
      <w:pPr>
        <w:pStyle w:val="ListBullet"/>
        <w:numPr>
          <w:ilvl w:val="0"/>
          <w:numId w:val="17"/>
        </w:numPr>
        <w:jc w:val="both"/>
      </w:pPr>
      <w:r w:rsidRPr="001B6517">
        <w:t>обеспечение правильной и эффективной организации лечебно-диагностического процесса на всех уровнях оказания противотуберкулёзной помощи;</w:t>
      </w:r>
    </w:p>
    <w:p w:rsidR="00A97587" w:rsidRPr="001B6517" w:rsidRDefault="00A97587" w:rsidP="004E572C">
      <w:pPr>
        <w:pStyle w:val="ListBullet"/>
        <w:numPr>
          <w:ilvl w:val="0"/>
          <w:numId w:val="17"/>
        </w:numPr>
        <w:jc w:val="both"/>
      </w:pPr>
      <w:r w:rsidRPr="001B6517">
        <w:t xml:space="preserve">получение оперативной информации, анализ и оценка результатов реализации мероприятий, направленных на совершенствование диагностики и лечения больных туберкулёзом; </w:t>
      </w:r>
    </w:p>
    <w:p w:rsidR="00A97587" w:rsidRPr="001B6517" w:rsidRDefault="00A97587" w:rsidP="004E572C">
      <w:pPr>
        <w:pStyle w:val="ListBullet"/>
        <w:numPr>
          <w:ilvl w:val="0"/>
          <w:numId w:val="17"/>
        </w:numPr>
        <w:jc w:val="both"/>
      </w:pPr>
      <w:r w:rsidRPr="001B6517">
        <w:t>выявление проблем, в организации лечебно-диагностического процесса и принятие управленческих решений направленных на совершенствование диагностики и лечения больных туберкулёзом с последующей разработкой предложений по их решению.</w:t>
      </w:r>
    </w:p>
    <w:p w:rsidR="00A97587" w:rsidRPr="001B6517" w:rsidRDefault="00A97587" w:rsidP="004E572C">
      <w:pPr>
        <w:pStyle w:val="ListBullet"/>
        <w:numPr>
          <w:ilvl w:val="0"/>
          <w:numId w:val="17"/>
        </w:numPr>
        <w:jc w:val="both"/>
      </w:pPr>
      <w:r w:rsidRPr="001B6517">
        <w:t>получение унифицированных данных по результатам обследования и лечения больных туберкулёзом, сопоставимых с данными международной статистики.</w:t>
      </w:r>
    </w:p>
    <w:p w:rsidR="00A97587" w:rsidRPr="00192261" w:rsidRDefault="00A97587" w:rsidP="004E572C">
      <w:pPr>
        <w:pStyle w:val="BodyText"/>
        <w:rPr>
          <w:lang w:val="ru-RU"/>
        </w:rPr>
      </w:pPr>
      <w:r w:rsidRPr="00192261">
        <w:rPr>
          <w:lang w:val="ru-RU"/>
        </w:rPr>
        <w:t>Мониторингу подлежат все больные туберкулёзом, выявленные и/или получающие лечение на территории субъекта Российской Федерации.</w:t>
      </w:r>
    </w:p>
    <w:p w:rsidR="00A97587" w:rsidRDefault="00A97587" w:rsidP="004E572C">
      <w:pPr>
        <w:pStyle w:val="Heading3"/>
        <w:numPr>
          <w:ilvl w:val="2"/>
          <w:numId w:val="16"/>
        </w:numPr>
      </w:pPr>
      <w:bookmarkStart w:id="111" w:name="М1"/>
      <w:bookmarkStart w:id="112" w:name="_Toc373847394"/>
      <w:bookmarkEnd w:id="111"/>
      <w:r>
        <w:t>О</w:t>
      </w:r>
      <w:r w:rsidRPr="00B85E96">
        <w:t>пределения случаев</w:t>
      </w:r>
      <w:bookmarkEnd w:id="112"/>
    </w:p>
    <w:p w:rsidR="00A97587" w:rsidRPr="00192261" w:rsidRDefault="00A97587" w:rsidP="004E572C">
      <w:pPr>
        <w:pStyle w:val="BodyText"/>
        <w:rPr>
          <w:lang w:val="ru-RU"/>
        </w:rPr>
      </w:pPr>
      <w:r w:rsidRPr="00192261">
        <w:rPr>
          <w:lang w:val="ru-RU"/>
        </w:rPr>
        <w:t>Для формирования когорт, в рамках которых проводится оценка результатов лечения, используются следующие определения случаев:</w:t>
      </w:r>
    </w:p>
    <w:p w:rsidR="00A97587" w:rsidRPr="001B6517" w:rsidRDefault="00A97587" w:rsidP="004E572C">
      <w:pPr>
        <w:pStyle w:val="ListBullet"/>
        <w:numPr>
          <w:ilvl w:val="0"/>
          <w:numId w:val="17"/>
        </w:numPr>
        <w:jc w:val="both"/>
      </w:pPr>
      <w:r w:rsidRPr="001B6517">
        <w:t>Туберкулёз с бактериологическим подтверждением – случай, при котором образец биологического материала, взятый непосредственно перед началом текущего курса химиотерапии, имеет положительный результат, подтвержденный микробиологическими или молекулярно-генетическими методами, лицензированными для использования на территории Российской Федерации.</w:t>
      </w:r>
    </w:p>
    <w:p w:rsidR="00A97587" w:rsidRPr="001B6517" w:rsidRDefault="00A97587" w:rsidP="004E572C">
      <w:pPr>
        <w:pStyle w:val="ListBullet"/>
        <w:numPr>
          <w:ilvl w:val="0"/>
          <w:numId w:val="17"/>
        </w:numPr>
        <w:jc w:val="both"/>
      </w:pPr>
      <w:r w:rsidRPr="001B6517">
        <w:t>Туберкулёз с клинически установленным диагнозом – случай активного туберкулёза, не имеющий подтверждения микробиологическими или молекулярно-генетическими методами.</w:t>
      </w:r>
    </w:p>
    <w:p w:rsidR="00A97587" w:rsidRPr="001B6517" w:rsidRDefault="00A97587" w:rsidP="004E572C">
      <w:pPr>
        <w:pStyle w:val="ListBullet"/>
        <w:numPr>
          <w:ilvl w:val="0"/>
          <w:numId w:val="17"/>
        </w:numPr>
        <w:jc w:val="both"/>
      </w:pPr>
      <w:r w:rsidRPr="001B6517">
        <w:t>Впервые выявленный больной – случай, который ранее не принимал противотуберкулёзные препараты в виде основного курса лечения туберкулёза, или принимал их менее 1 месяца.</w:t>
      </w:r>
    </w:p>
    <w:p w:rsidR="00A97587" w:rsidRPr="001B6517" w:rsidRDefault="00A97587" w:rsidP="004E572C">
      <w:pPr>
        <w:pStyle w:val="ListBullet"/>
        <w:numPr>
          <w:ilvl w:val="0"/>
          <w:numId w:val="17"/>
        </w:numPr>
        <w:jc w:val="both"/>
      </w:pPr>
      <w:r w:rsidRPr="001B6517">
        <w:t>Больной рецидивом туберкулёза – случай, у которого предыдущий курс химиотерапии был завершен эффективно, а затем был зарегистрирован повторный эпизод туберкулёза.</w:t>
      </w:r>
    </w:p>
    <w:p w:rsidR="00A97587" w:rsidRPr="001B6517" w:rsidRDefault="00A97587" w:rsidP="004E572C">
      <w:pPr>
        <w:pStyle w:val="ListBullet"/>
        <w:numPr>
          <w:ilvl w:val="0"/>
          <w:numId w:val="17"/>
        </w:numPr>
        <w:jc w:val="both"/>
      </w:pPr>
      <w:r w:rsidRPr="001B6517">
        <w:t>Случай лечения после неэффективного курса химиотерапии – случай лечения больного, предыдущий курс химиотерапии которого завершился исходом «неэффективный курс химиотерапии» или «перерегистрирован».</w:t>
      </w:r>
    </w:p>
    <w:p w:rsidR="00A97587" w:rsidRPr="001B6517" w:rsidRDefault="00A97587" w:rsidP="004E572C">
      <w:pPr>
        <w:pStyle w:val="ListBullet"/>
        <w:numPr>
          <w:ilvl w:val="0"/>
          <w:numId w:val="17"/>
        </w:numPr>
        <w:jc w:val="both"/>
      </w:pPr>
      <w:r w:rsidRPr="001B6517">
        <w:t>Случай лечения после прерывания курса химиотерапии – случай лечения больного, у которого предыдущий курс лечения завершился исходом «прервал курс химиотерапии».</w:t>
      </w:r>
    </w:p>
    <w:p w:rsidR="00A97587" w:rsidRPr="001B6517" w:rsidRDefault="00A97587" w:rsidP="004E572C">
      <w:pPr>
        <w:pStyle w:val="ListBullet"/>
        <w:numPr>
          <w:ilvl w:val="0"/>
          <w:numId w:val="17"/>
        </w:numPr>
        <w:jc w:val="both"/>
      </w:pPr>
      <w:r w:rsidRPr="001B6517">
        <w:t xml:space="preserve">Прочие случаи лечения – случаи лечения больных, не попадающие ни под одну из предыдущих категорий (результат их последнего курса химиотерапии неизвестен или не подтвержден документально). </w:t>
      </w:r>
    </w:p>
    <w:p w:rsidR="00A97587" w:rsidRPr="001B6517" w:rsidRDefault="00A97587" w:rsidP="004E572C">
      <w:pPr>
        <w:pStyle w:val="ListBullet"/>
        <w:numPr>
          <w:ilvl w:val="0"/>
          <w:numId w:val="17"/>
        </w:numPr>
        <w:jc w:val="both"/>
      </w:pPr>
      <w:r w:rsidRPr="001B6517">
        <w:t>Случай лечения больного без устойчивости к рифампицину – случай лечения больного по стандартному режиму химиотерапии, не предусматривающему лечение больных с устойчивостью к рифампицину, включая МЛУ/ШЛУ.</w:t>
      </w:r>
    </w:p>
    <w:p w:rsidR="00A97587" w:rsidRPr="001B6517" w:rsidRDefault="00A97587" w:rsidP="004E572C">
      <w:pPr>
        <w:pStyle w:val="ListBullet"/>
        <w:numPr>
          <w:ilvl w:val="0"/>
          <w:numId w:val="17"/>
        </w:numPr>
        <w:jc w:val="both"/>
      </w:pPr>
      <w:r w:rsidRPr="001B6517">
        <w:t>Случай лечения больного с устойчивостью к рифампицину (РУ) МБТ – случай лечения больного по режиму, предусмотренному для больных с лекарственной устойчивостью МБТ как минимум к рифампицину.</w:t>
      </w:r>
    </w:p>
    <w:p w:rsidR="00A97587" w:rsidRPr="001B6517" w:rsidRDefault="00A97587" w:rsidP="004E572C">
      <w:pPr>
        <w:pStyle w:val="ListBullet"/>
        <w:numPr>
          <w:ilvl w:val="0"/>
          <w:numId w:val="17"/>
        </w:numPr>
        <w:jc w:val="both"/>
      </w:pPr>
      <w:r w:rsidRPr="001B6517">
        <w:t>Случай лечения больного с множественной лекарственной устойчивостью (МЛУ) МБТ – случай лечения больного по режиму, предусмотренному для больных с лекарственной устойчивостью МБТ как минимум к изониазиду и рифампицину.</w:t>
      </w:r>
    </w:p>
    <w:p w:rsidR="00A97587" w:rsidRPr="001B6517" w:rsidRDefault="00A97587" w:rsidP="004E572C">
      <w:pPr>
        <w:pStyle w:val="ListBullet"/>
        <w:numPr>
          <w:ilvl w:val="0"/>
          <w:numId w:val="17"/>
        </w:numPr>
        <w:jc w:val="both"/>
      </w:pPr>
      <w:r w:rsidRPr="001B6517">
        <w:t>Случай лечения больного с широкой лекарственной устойчивостью (ШЛУ) МБТ – случай лечения больного по режиму химиотерапии, предусмотренному для больных с одновременной лекарственной устойчивостью МБТ как минимум к изониазиду, рифампицину, фторхинолонам и к одному из инъекционных противотуберкулезных препаратов – канамицину (амикацину) или капреомицину.</w:t>
      </w:r>
    </w:p>
    <w:p w:rsidR="00A97587" w:rsidRDefault="00A97587" w:rsidP="004E572C">
      <w:pPr>
        <w:pStyle w:val="Heading3"/>
        <w:numPr>
          <w:ilvl w:val="2"/>
          <w:numId w:val="16"/>
        </w:numPr>
      </w:pPr>
      <w:bookmarkStart w:id="113" w:name="_Toc373847395"/>
      <w:r w:rsidRPr="001B6517">
        <w:t>Для случаев лечения туберкулёза без устойчивости к рифампицину и полирезистентности</w:t>
      </w:r>
      <w:r>
        <w:t>.</w:t>
      </w:r>
      <w:r w:rsidRPr="001B6517">
        <w:t xml:space="preserve"> </w:t>
      </w:r>
    </w:p>
    <w:p w:rsidR="00A97587" w:rsidRPr="00317A72" w:rsidRDefault="00A97587" w:rsidP="00317A72">
      <w:pPr>
        <w:pStyle w:val="BodyText"/>
        <w:rPr>
          <w:lang w:val="ru-RU"/>
        </w:rPr>
      </w:pPr>
      <w:r>
        <w:rPr>
          <w:lang w:val="ru-RU"/>
        </w:rPr>
        <w:t>П</w:t>
      </w:r>
      <w:r w:rsidRPr="00317A72">
        <w:rPr>
          <w:lang w:val="ru-RU"/>
        </w:rPr>
        <w:t>о окончании курса химиотерапии, но не более года после регистрации случая, предусмотрена регистрация следующих исходов лечения:</w:t>
      </w:r>
      <w:bookmarkEnd w:id="113"/>
    </w:p>
    <w:p w:rsidR="00A97587" w:rsidRPr="00192261" w:rsidRDefault="00A97587" w:rsidP="000D35AC">
      <w:pPr>
        <w:pStyle w:val="ListBullet"/>
        <w:numPr>
          <w:ilvl w:val="0"/>
          <w:numId w:val="17"/>
        </w:numPr>
        <w:jc w:val="both"/>
      </w:pPr>
      <w:r w:rsidRPr="00192261">
        <w:t>Эффективный курс химиотерапии с бактериологическим подтверждением - регистрируется у случаев лечения больных туберкулёзом лёгких, имевших бактериологическое подтверждение диагноза по образцу мокроты до начала лечения, и имевшего как минимум два отрицательных результата микроскопии или посева мокроты на последнем месяце лечения и, по меньшей мере, один раз до этого. При этом больной принял все предусмотренные режимом лечения дозы противотуберкулёзных препаратов и у него отсутствуют клинические признаки активного туберкулёза, требующие проведения больному повторного курса лечения.</w:t>
      </w:r>
    </w:p>
    <w:p w:rsidR="00A97587" w:rsidRPr="00192261" w:rsidRDefault="00A97587" w:rsidP="000D35AC">
      <w:pPr>
        <w:pStyle w:val="ListBullet"/>
        <w:numPr>
          <w:ilvl w:val="0"/>
          <w:numId w:val="17"/>
        </w:numPr>
        <w:jc w:val="both"/>
      </w:pPr>
      <w:r w:rsidRPr="00192261">
        <w:t>Эффективный курс химиотерапии с клиническим подтверждением – регистрируется у случаев лечения больных, принявших все предусмотренные режимом дозы противотуберкулёзных препаратов, у которых отсутствуют клинические и бактериологические признаки активного туберкулёза, но у которых невозможно зарегистрировать исход «эффективный курс химиотерапии с бактериологическим подтверждением».</w:t>
      </w:r>
    </w:p>
    <w:p w:rsidR="00A97587" w:rsidRPr="00192261" w:rsidRDefault="00A97587" w:rsidP="000D35AC">
      <w:pPr>
        <w:pStyle w:val="ListBullet"/>
        <w:numPr>
          <w:ilvl w:val="0"/>
          <w:numId w:val="17"/>
        </w:numPr>
        <w:jc w:val="both"/>
      </w:pPr>
      <w:r w:rsidRPr="00192261">
        <w:t>Неэффективный курс химиотерапии – регистрируется в случае:</w:t>
      </w:r>
    </w:p>
    <w:p w:rsidR="00A97587" w:rsidRPr="001B6517" w:rsidRDefault="00A97587" w:rsidP="000D35AC">
      <w:pPr>
        <w:pStyle w:val="ListBullet"/>
        <w:numPr>
          <w:ilvl w:val="0"/>
          <w:numId w:val="17"/>
        </w:numPr>
        <w:tabs>
          <w:tab w:val="clear" w:pos="360"/>
          <w:tab w:val="num" w:pos="720"/>
        </w:tabs>
        <w:ind w:left="720"/>
        <w:jc w:val="both"/>
      </w:pPr>
      <w:r w:rsidRPr="001B6517">
        <w:t>появления бактериовыделения на 5 месяце или позднее;</w:t>
      </w:r>
    </w:p>
    <w:p w:rsidR="00A97587" w:rsidRPr="001B6517" w:rsidRDefault="00A97587" w:rsidP="000D35AC">
      <w:pPr>
        <w:pStyle w:val="ListBullet"/>
        <w:numPr>
          <w:ilvl w:val="0"/>
          <w:numId w:val="17"/>
        </w:numPr>
        <w:tabs>
          <w:tab w:val="clear" w:pos="360"/>
          <w:tab w:val="num" w:pos="720"/>
        </w:tabs>
        <w:ind w:left="720"/>
        <w:jc w:val="both"/>
      </w:pPr>
      <w:r w:rsidRPr="001B6517">
        <w:t>при отсутствии бактериовыделения до начала лечения определяется отрицательная клиническая и рентгенологическая динамика</w:t>
      </w:r>
    </w:p>
    <w:p w:rsidR="00A97587" w:rsidRPr="001B6517" w:rsidRDefault="00A97587" w:rsidP="000D35AC">
      <w:pPr>
        <w:pStyle w:val="ListBullet"/>
        <w:numPr>
          <w:ilvl w:val="0"/>
          <w:numId w:val="17"/>
        </w:numPr>
        <w:tabs>
          <w:tab w:val="clear" w:pos="360"/>
          <w:tab w:val="num" w:pos="720"/>
        </w:tabs>
        <w:ind w:left="720"/>
        <w:jc w:val="both"/>
      </w:pPr>
      <w:r w:rsidRPr="001B6517">
        <w:t>в конце курса лечения у больного сохраняются клинико-рентгенологические и лабораторные признаки активного туберкулёза, требующие проведения повторного курса лечения.</w:t>
      </w:r>
    </w:p>
    <w:p w:rsidR="00A97587" w:rsidRPr="00192261" w:rsidRDefault="00A97587" w:rsidP="000D35AC">
      <w:pPr>
        <w:pStyle w:val="ListBullet"/>
        <w:numPr>
          <w:ilvl w:val="0"/>
          <w:numId w:val="17"/>
        </w:numPr>
        <w:jc w:val="both"/>
      </w:pPr>
      <w:r w:rsidRPr="00192261">
        <w:t>Перерегистрирован – больной перерегистрирован для прохождения лечения по режиму химиотерапии, предусмотренному для больных с лекарственной устойчивостью как минимум к рифампицину (включая МЛУ/ШЛУ).</w:t>
      </w:r>
    </w:p>
    <w:p w:rsidR="00A97587" w:rsidRPr="00192261" w:rsidRDefault="00A97587" w:rsidP="000D35AC">
      <w:pPr>
        <w:pStyle w:val="ListBullet"/>
        <w:numPr>
          <w:ilvl w:val="0"/>
          <w:numId w:val="17"/>
        </w:numPr>
        <w:jc w:val="both"/>
      </w:pPr>
      <w:r w:rsidRPr="00192261">
        <w:t xml:space="preserve">Продолжает лечение – случаи лечения больных, продолжающие химиотерапию более 1 года (с туберкулёзным менингитом или костно-суставным туберкулёзом). </w:t>
      </w:r>
    </w:p>
    <w:p w:rsidR="00A97587" w:rsidRPr="00192261" w:rsidRDefault="00A97587" w:rsidP="000D35AC">
      <w:pPr>
        <w:pStyle w:val="ListBullet"/>
        <w:numPr>
          <w:ilvl w:val="0"/>
          <w:numId w:val="17"/>
        </w:numPr>
        <w:jc w:val="both"/>
      </w:pPr>
      <w:r w:rsidRPr="00192261">
        <w:t>Умер от туберкулёза – случай, завершившийся летальным исходом от туберкулёза.</w:t>
      </w:r>
    </w:p>
    <w:p w:rsidR="00A97587" w:rsidRPr="00192261" w:rsidRDefault="00A97587" w:rsidP="000D35AC">
      <w:pPr>
        <w:pStyle w:val="ListBullet"/>
        <w:numPr>
          <w:ilvl w:val="0"/>
          <w:numId w:val="17"/>
        </w:numPr>
        <w:jc w:val="both"/>
      </w:pPr>
      <w:r w:rsidRPr="00192261">
        <w:t xml:space="preserve">Умер от других причин – случай, завершившийся летальным исходом не от туберкулёза </w:t>
      </w:r>
    </w:p>
    <w:p w:rsidR="00A97587" w:rsidRPr="00192261" w:rsidRDefault="00A97587" w:rsidP="000D35AC">
      <w:pPr>
        <w:pStyle w:val="ListBullet"/>
        <w:numPr>
          <w:ilvl w:val="0"/>
          <w:numId w:val="17"/>
        </w:numPr>
        <w:jc w:val="both"/>
      </w:pPr>
      <w:r w:rsidRPr="00192261">
        <w:t>Прервал курс химиотерапии – исход случаев лечения, при которых больные не начинали лечение или прервали его на 2 месяца подряд и более.</w:t>
      </w:r>
    </w:p>
    <w:p w:rsidR="00A97587" w:rsidRPr="00192261" w:rsidRDefault="00A97587" w:rsidP="000D35AC">
      <w:pPr>
        <w:pStyle w:val="ListBullet"/>
        <w:numPr>
          <w:ilvl w:val="0"/>
          <w:numId w:val="17"/>
        </w:numPr>
        <w:jc w:val="both"/>
      </w:pPr>
      <w:r w:rsidRPr="00192261">
        <w:t>Выбыл – больной, выбывший из административной территории или переведенный из одного ведомства в другое, окончательный результат лечения которого не известен.</w:t>
      </w:r>
    </w:p>
    <w:p w:rsidR="00A97587" w:rsidRDefault="00A97587" w:rsidP="000B4017">
      <w:pPr>
        <w:pStyle w:val="Heading3"/>
        <w:numPr>
          <w:ilvl w:val="2"/>
          <w:numId w:val="16"/>
        </w:numPr>
      </w:pPr>
      <w:bookmarkStart w:id="114" w:name="_Toc373847396"/>
      <w:r w:rsidRPr="001B6517">
        <w:t>Для случаев лечения больного с устойчивостью к рифампицину, включая МЛУ/ШЛУ (включая приравненных к ним больных с высоким риском МЛУ-туберкулёза и полирезистентностью с одновременной устойчивостью МБТ к изониазиду, пиразинамиду и этамбутолу)</w:t>
      </w:r>
      <w:r>
        <w:t>.</w:t>
      </w:r>
    </w:p>
    <w:p w:rsidR="00A97587" w:rsidRPr="00317A72" w:rsidRDefault="00A97587" w:rsidP="00317A72">
      <w:pPr>
        <w:pStyle w:val="BodyText"/>
        <w:rPr>
          <w:lang w:val="ru-RU"/>
        </w:rPr>
      </w:pPr>
      <w:r>
        <w:rPr>
          <w:lang w:val="ru-RU"/>
        </w:rPr>
        <w:t>П</w:t>
      </w:r>
      <w:r w:rsidRPr="00317A72">
        <w:rPr>
          <w:lang w:val="ru-RU"/>
        </w:rPr>
        <w:t>о окончании курса химиотерапии, но не более чем через два года после регистрации случая предусмотрена регистрация следующих исходов лечения:</w:t>
      </w:r>
      <w:bookmarkEnd w:id="114"/>
    </w:p>
    <w:p w:rsidR="00A97587" w:rsidRPr="00192261" w:rsidRDefault="00A97587" w:rsidP="00317A72">
      <w:pPr>
        <w:pStyle w:val="ListBullet"/>
        <w:numPr>
          <w:ilvl w:val="0"/>
          <w:numId w:val="17"/>
        </w:numPr>
      </w:pPr>
      <w:r w:rsidRPr="00192261">
        <w:t>Эффективный курс химиотерапии с бактериологическим подтверждением – регистрируется у случаев лечения больных, имеющих не менее трёх последовательных отрицательных результатов посева мокроты, сделанных с интервалом, по меньшей мере, 30 дней после завершения интенсивной фазы лечения.</w:t>
      </w:r>
    </w:p>
    <w:p w:rsidR="00A97587" w:rsidRPr="00192261" w:rsidRDefault="00A97587" w:rsidP="00317A72">
      <w:pPr>
        <w:pStyle w:val="ListBullet"/>
        <w:numPr>
          <w:ilvl w:val="0"/>
          <w:numId w:val="17"/>
        </w:numPr>
      </w:pPr>
      <w:r w:rsidRPr="00192261">
        <w:t>Эффективный курс химиотерапии с клиническим подтверждением – регистрируется у случаев лечения больных, принявших все предусмотренные режимом дозы противотуберкулёзных препаратов, у которых отсутствуют клинические и бактериологические признаки активного туберкулёза, но у которых невозможно зарегистрировать исход «эффективный курс химиотерапии с бактериологическим подтверждением».</w:t>
      </w:r>
    </w:p>
    <w:p w:rsidR="00A97587" w:rsidRPr="00192261" w:rsidRDefault="00A97587" w:rsidP="00317A72">
      <w:pPr>
        <w:pStyle w:val="ListBullet"/>
        <w:numPr>
          <w:ilvl w:val="0"/>
          <w:numId w:val="17"/>
        </w:numPr>
      </w:pPr>
      <w:r w:rsidRPr="00192261">
        <w:t>Неэффективный курс химиотерапии регистрируется в случае:</w:t>
      </w:r>
    </w:p>
    <w:p w:rsidR="00A97587" w:rsidRPr="001B6517" w:rsidRDefault="00A97587" w:rsidP="00317A72">
      <w:pPr>
        <w:pStyle w:val="ListBullet"/>
        <w:numPr>
          <w:ilvl w:val="0"/>
          <w:numId w:val="17"/>
        </w:numPr>
        <w:tabs>
          <w:tab w:val="clear" w:pos="360"/>
          <w:tab w:val="num" w:pos="720"/>
        </w:tabs>
        <w:ind w:left="720"/>
      </w:pPr>
      <w:r w:rsidRPr="001B6517">
        <w:t>прекращения лечения вследствие побочных реакций;</w:t>
      </w:r>
    </w:p>
    <w:p w:rsidR="00A97587" w:rsidRPr="001B6517" w:rsidRDefault="00A97587" w:rsidP="00317A72">
      <w:pPr>
        <w:pStyle w:val="ListBullet"/>
        <w:numPr>
          <w:ilvl w:val="0"/>
          <w:numId w:val="17"/>
        </w:numPr>
        <w:tabs>
          <w:tab w:val="clear" w:pos="360"/>
          <w:tab w:val="num" w:pos="720"/>
        </w:tabs>
        <w:ind w:left="720"/>
      </w:pPr>
      <w:r w:rsidRPr="001B6517">
        <w:t>замены двух и более противотуберкулёзных препаратов из-за получения информации о дополнительной лекарственной устойчивости или непереносимости;</w:t>
      </w:r>
    </w:p>
    <w:p w:rsidR="00A97587" w:rsidRPr="001B6517" w:rsidRDefault="00A97587" w:rsidP="00317A72">
      <w:pPr>
        <w:pStyle w:val="ListBullet"/>
        <w:numPr>
          <w:ilvl w:val="0"/>
          <w:numId w:val="17"/>
        </w:numPr>
        <w:tabs>
          <w:tab w:val="clear" w:pos="360"/>
          <w:tab w:val="num" w:pos="720"/>
        </w:tabs>
        <w:ind w:left="720"/>
      </w:pPr>
      <w:r w:rsidRPr="001B6517">
        <w:t>продолжения бактериовыделения к окончанию интенсивной фазы;</w:t>
      </w:r>
    </w:p>
    <w:p w:rsidR="00A97587" w:rsidRPr="001B6517" w:rsidRDefault="00A97587" w:rsidP="00317A72">
      <w:pPr>
        <w:pStyle w:val="ListBullet"/>
        <w:numPr>
          <w:ilvl w:val="0"/>
          <w:numId w:val="17"/>
        </w:numPr>
        <w:tabs>
          <w:tab w:val="clear" w:pos="360"/>
          <w:tab w:val="num" w:pos="720"/>
        </w:tabs>
        <w:ind w:left="720"/>
      </w:pPr>
      <w:r w:rsidRPr="001B6517">
        <w:t>возобновления бактериовыделение в фазе продолжения химиотерапии.</w:t>
      </w:r>
    </w:p>
    <w:p w:rsidR="00A97587" w:rsidRPr="00192261" w:rsidRDefault="00A97587" w:rsidP="00317A72">
      <w:pPr>
        <w:pStyle w:val="ListBullet"/>
        <w:numPr>
          <w:ilvl w:val="0"/>
          <w:numId w:val="17"/>
        </w:numPr>
      </w:pPr>
      <w:r w:rsidRPr="00192261">
        <w:t>Умер от туберкулёза – случай, завершившийся летальным исходом от туберкулёза.</w:t>
      </w:r>
    </w:p>
    <w:p w:rsidR="00A97587" w:rsidRPr="00192261" w:rsidRDefault="00A97587" w:rsidP="00317A72">
      <w:pPr>
        <w:pStyle w:val="ListBullet"/>
        <w:numPr>
          <w:ilvl w:val="0"/>
          <w:numId w:val="17"/>
        </w:numPr>
      </w:pPr>
      <w:r w:rsidRPr="00192261">
        <w:t xml:space="preserve">Умер от других причин – случай, завершившийся летальным исходом не от туберкулёза </w:t>
      </w:r>
    </w:p>
    <w:p w:rsidR="00A97587" w:rsidRPr="00192261" w:rsidRDefault="00A97587" w:rsidP="00317A72">
      <w:pPr>
        <w:pStyle w:val="ListBullet"/>
        <w:numPr>
          <w:ilvl w:val="0"/>
          <w:numId w:val="17"/>
        </w:numPr>
      </w:pPr>
      <w:r w:rsidRPr="00192261">
        <w:t>Прервал курс химиотерапии – исход случаев лечения, при которых больные не начинали лечение или прервали его на 2 месяца подряд и более.</w:t>
      </w:r>
    </w:p>
    <w:p w:rsidR="00A97587" w:rsidRPr="00192261" w:rsidRDefault="00A97587" w:rsidP="00317A72">
      <w:pPr>
        <w:pStyle w:val="ListBullet"/>
        <w:numPr>
          <w:ilvl w:val="0"/>
          <w:numId w:val="17"/>
        </w:numPr>
      </w:pPr>
      <w:r w:rsidRPr="00192261">
        <w:t>Не оценен – больной, выбывший из административной территории или переведенный из одного ведомства в другое, окончательный результат лечения которого не известен, либо результат его лечения не оценен.</w:t>
      </w:r>
    </w:p>
    <w:p w:rsidR="00A97587" w:rsidRPr="001B6517" w:rsidRDefault="00A97587" w:rsidP="000B4017">
      <w:pPr>
        <w:pStyle w:val="Heading1"/>
        <w:numPr>
          <w:ilvl w:val="0"/>
          <w:numId w:val="16"/>
        </w:numPr>
        <w:ind w:left="0" w:firstLine="0"/>
      </w:pPr>
      <w:bookmarkStart w:id="115" w:name="_Toc373846982"/>
      <w:bookmarkStart w:id="116" w:name="_Toc373847398"/>
      <w:bookmarkStart w:id="117" w:name="_Toc373847463"/>
      <w:bookmarkStart w:id="118" w:name="_Toc373847516"/>
      <w:bookmarkStart w:id="119" w:name="_Toc373846983"/>
      <w:bookmarkStart w:id="120" w:name="_Toc373847399"/>
      <w:bookmarkStart w:id="121" w:name="_Toc373847464"/>
      <w:bookmarkStart w:id="122" w:name="_Toc373847517"/>
      <w:bookmarkStart w:id="123" w:name="_Toc373847400"/>
      <w:bookmarkStart w:id="124" w:name="_Toc374016073"/>
      <w:bookmarkEnd w:id="115"/>
      <w:bookmarkEnd w:id="116"/>
      <w:bookmarkEnd w:id="117"/>
      <w:bookmarkEnd w:id="118"/>
      <w:bookmarkEnd w:id="119"/>
      <w:bookmarkEnd w:id="120"/>
      <w:bookmarkEnd w:id="121"/>
      <w:bookmarkEnd w:id="122"/>
      <w:r w:rsidRPr="001B6517">
        <w:t>Список литературы</w:t>
      </w:r>
      <w:bookmarkEnd w:id="123"/>
      <w:bookmarkEnd w:id="124"/>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Проекты методических рекомендаций. Концепции химиотерапии и этиологической (микробиологической и молекулярно-биологической диагностики туберкулеза в Российской Федерации на современном этапе. Медицинский альянс 2012; 1; 5-38.</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Приказ Министерства здравоохранения Российской Федерации от 5 августа 2003 г. N 330 «О мерах по совершенствованию лечебного питания в лечебно-профилактических учреждениях Российской Федерации" .</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Приказ Министерства здравоохранения и социального развития Российской Федерации (Минздравсоцразвития России) от 26 апреля 2006 г. N 316 г. Москва. О внесении изменений в приказ Министерства здравоохранения Российской Федерации от 5 августа 2003 г. N 330 "О мерах по совершенствованию лечебного питания в лечебно-профилактических учреждениях Российской Федерации".</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Ерохин В.В., Ловачёва О.В., Лепёха Л.Н., Васильева И.А., Багдасарян Т.Р., Розенберг О.А. Комплексное лечение деструктивного туберкулёза лёгких с использованием препарата природного сурфактанта “сурфактант-БЛ”. Методические рекомендации. Москва, 2010. 22с.</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Ерохин В.В., Васильева И.А., Эргешов А.Э., Самойлова А.Г. Биочиповая технология повышает эффективность лечения МЛУ туберкулёза. Современные медицинские технологии. - 2010. -№5. С.82-83.</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 xml:space="preserve">Васильева И.А., Черноусова Л.Н., Эргешов А.Э. Эффективность режима химиотерапии по результатам биочипового метода определения МЛУ МБТ. </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 xml:space="preserve">Васильева И.А., Багдасарян Т.Р., Самойлова А.Г., Эргешов А.Э. Эффективность комплексного лечения больных туберкулезом легких с множественной и широкой лекарственной устойчивостью микобактерий.- Туберкулез и болезни легких, 2011. – № 4.- С.81. </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Васильева И.А., Самойлова  А.Г., Зимина В.Н. и др. Опыт применения линезолида в комплексном лечении больных туберкулезом с широкой лекарственной устойчивостью возбудителя.- Туберкулез и болезни легких, 2010 – С. 17-20.</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Васильева И.А., Самойлова А.Г., Багдасарян Т.Р., Зимина В.Н., Черноусова Л.Н.. Зависимость результатов лечения больных туберкулезом легких от спектра лекарственной устойчивости возбудителя. -  Туберкулез и болезни легких, 2011. - № 10. -  С. 28.</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Васильева И.А., Эргешов А.Э., Самойлова А.Г., Киселева Ю.Ю.,. Иванов А.К, Яблонский П.К.  Отдаленные результаты применения стандартных режимов химиотерапии у больных туберкулезом органов дыхания. - Туберкулез и болезни легких, 2012.-№4.- С. 3-8.</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Васильева И.А., Сигаев А.Т., Чуканов В.И. Искусственный пневмоперитонеум в комплексном лечении больных туберкулёзом лёгких, выделяющих лекарственно устойчивые микобактерии туберкулёза. Проблемы туберкулёза и болезней лёгких. -М.-2006. -№8. С.23-26.</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Багдасарян Т.Р., Чуканов В.И., Васильева И.А. Пневмоперитонеум в лечении больных лекарственно устойчивым туберкулёзом лёгких. Сборник трудов Республиканской научн-практ. конф. “Организация борьбы с туберкулёзом в Беларуси в условиях повышенного роста лекарствннной резистентности МБТ”, Беларусь. Брест, 2006. С.27</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Розенберг О.А., Ловачёва О.В., Васильева И.А., Багдасарян Т,.Р., Шергина Е.А. Ерохин В.В. Сурфактант-терапия при лечении деструктивного туберкулёза с лекарственной устойчивостью возбудителя. Туберкулёз и болезни лёгких. -М. -2011. -№5. С.136-137</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Ловачёва О.В., Шумская И.Ю., Туровцева Ю.В., Васильева И.А., Эргешов А.Э. Эндобронхиальный клапан в лечении деструктивного лекарственно устойчивого туберкулёза. Туберкулёз и болезни лёгких. -М. -2011. -№5. С.28-29</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Ловачёва О.В., Сивокозов И.В., Эргешов А.Э., Васильева И.А., Багдасарян Т.Р. Использование клапанного бронхоблокатора в лечении больных с детсруктивным туберкулёзом лёгких. Проблемы туберкулёза и болезней лёгких. -М. -2008. -№10. С.58-61</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А. В. Левин, Е. А. Цеймах, П. Е. Зимонин  Применение клапанной бронхоблокации при осложнённом туберкулёзе лёгких. -  Барнаул, 2008. - 29 с.</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Применение искусственного пневмоперитонеума и пневмоторакса в лечении деструктивного туберкулеза легких в современных условиях. Методические рекомендации МЗ РФ. – Проблемы туберкулеза, 2003. - №2.- с. 50-53</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Кильдюшева Е.И., Скорняков С.Н., Медвинский И.Д., Мотус И.Я., Залетаева Г.Е., Савельев А.В. Пневмоперитонеум в комплексном лечении распространенных форм деструктивного туберкулеза легких. Уральский медицинский журнал 2013, 2, 69-75.</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БаласанянцГ.С., Галкин В.Б. . Туберкулез с множественной и широкой лекарственной устойчивостью – актуальная эпидемиологическая проблема . - Профилактическая и клиническая медицина. – СПб., 2011. - № 3  - С.138 – 142</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Самойлова А.Г., Васильева И.А., Иванов А.К., Галкин В.Б., Марьяндышев А.О., Яблонский П.К.. Эффективность стандартных режимов химиотерапии в зависимости от лекарственной чувствительности возбудителя.// Туберкулез и болезни легких.- 2012, №8. - стр.23-29</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 xml:space="preserve">Торкатюк Е.А., Баласанянц Г.С. Современные проблемы широкой лекарственной устойчивости микобактерий туберкулеза. -Инфекция и иммунитет. Материалы </w:t>
      </w:r>
      <w:r w:rsidRPr="00A42A8B">
        <w:rPr>
          <w:rFonts w:ascii="Times New Roman" w:hAnsi="Times New Roman"/>
          <w:lang w:val="en-US"/>
        </w:rPr>
        <w:t>X</w:t>
      </w:r>
      <w:r w:rsidRPr="00A42A8B">
        <w:rPr>
          <w:rFonts w:ascii="Times New Roman" w:hAnsi="Times New Roman"/>
        </w:rPr>
        <w:t xml:space="preserve"> съезда Всероссийского научно-практического общества эпидемиологов, микробиологов и паразитологов. – 2012. - Том 2, № 1–2. – С.327.</w:t>
      </w:r>
    </w:p>
    <w:p w:rsidR="00A97587" w:rsidRPr="00A42A8B" w:rsidRDefault="00A97587" w:rsidP="00A42A8B">
      <w:pPr>
        <w:pStyle w:val="List2"/>
        <w:numPr>
          <w:ilvl w:val="0"/>
          <w:numId w:val="32"/>
        </w:numPr>
        <w:spacing w:after="0" w:line="240" w:lineRule="auto"/>
        <w:ind w:firstLine="0"/>
        <w:jc w:val="both"/>
        <w:rPr>
          <w:rFonts w:ascii="Times New Roman" w:hAnsi="Times New Roman"/>
          <w:b/>
          <w:bCs/>
          <w:iCs/>
          <w:lang w:val="en-US"/>
        </w:rPr>
      </w:pPr>
      <w:r w:rsidRPr="00A42A8B">
        <w:rPr>
          <w:rFonts w:ascii="Times New Roman" w:hAnsi="Times New Roman"/>
          <w:lang w:val="en-US"/>
        </w:rPr>
        <w:t>Belilovsky E, Galkin V, Danilova I. Long-term outcomes of treatment of new pulmonary tuberculosis patients in view of MDR-TB treatment effectiveness. - /</w:t>
      </w:r>
      <w:r w:rsidRPr="00A42A8B">
        <w:rPr>
          <w:rFonts w:ascii="Times New Roman" w:hAnsi="Times New Roman"/>
          <w:bCs/>
          <w:iCs/>
          <w:lang w:val="en-GB"/>
        </w:rPr>
        <w:t>43</w:t>
      </w:r>
      <w:r w:rsidRPr="00A42A8B">
        <w:rPr>
          <w:rFonts w:ascii="Times New Roman" w:hAnsi="Times New Roman"/>
          <w:bCs/>
          <w:iCs/>
          <w:vertAlign w:val="superscript"/>
          <w:lang w:val="en-GB"/>
        </w:rPr>
        <w:t>st</w:t>
      </w:r>
      <w:r w:rsidRPr="00A42A8B">
        <w:rPr>
          <w:rFonts w:ascii="Times New Roman" w:hAnsi="Times New Roman"/>
          <w:bCs/>
          <w:iCs/>
          <w:lang w:val="en-GB"/>
        </w:rPr>
        <w:t xml:space="preserve"> Union World Conference on Lung Health</w:t>
      </w:r>
      <w:r w:rsidRPr="00A42A8B">
        <w:rPr>
          <w:rFonts w:ascii="Times New Roman" w:hAnsi="Times New Roman"/>
          <w:bCs/>
          <w:iCs/>
          <w:lang w:val="en-US"/>
        </w:rPr>
        <w:t>,Malaysia, abstract book – 2012. ––</w:t>
      </w:r>
      <w:r w:rsidRPr="00A42A8B">
        <w:rPr>
          <w:rFonts w:ascii="Times New Roman" w:hAnsi="Times New Roman"/>
          <w:lang w:val="en-US"/>
        </w:rPr>
        <w:t>V.16, N12.- S. 183.</w:t>
      </w:r>
      <w:r w:rsidRPr="00A42A8B">
        <w:rPr>
          <w:rFonts w:ascii="Times New Roman" w:hAnsi="Times New Roman"/>
          <w:bCs/>
          <w:iCs/>
          <w:lang w:val="en-US"/>
        </w:rPr>
        <w:t xml:space="preserve"> - PC-791-15</w:t>
      </w:r>
    </w:p>
    <w:p w:rsidR="00A97587" w:rsidRPr="00A42A8B" w:rsidRDefault="00A97587" w:rsidP="00A42A8B">
      <w:pPr>
        <w:pStyle w:val="List2"/>
        <w:numPr>
          <w:ilvl w:val="0"/>
          <w:numId w:val="32"/>
        </w:numPr>
        <w:spacing w:after="0" w:line="240" w:lineRule="auto"/>
        <w:ind w:firstLine="0"/>
        <w:jc w:val="both"/>
        <w:rPr>
          <w:rFonts w:ascii="Times New Roman" w:hAnsi="Times New Roman"/>
          <w:b/>
          <w:bCs/>
          <w:iCs/>
          <w:lang w:val="en-US"/>
        </w:rPr>
      </w:pPr>
      <w:r w:rsidRPr="00A42A8B">
        <w:rPr>
          <w:rFonts w:ascii="Times New Roman" w:hAnsi="Times New Roman"/>
          <w:bCs/>
          <w:iCs/>
          <w:lang w:val="en-US"/>
        </w:rPr>
        <w:t xml:space="preserve">Balasanyants G., </w:t>
      </w:r>
      <w:r w:rsidRPr="00A42A8B">
        <w:rPr>
          <w:rFonts w:ascii="Times New Roman" w:hAnsi="Times New Roman"/>
          <w:lang w:val="en-US"/>
        </w:rPr>
        <w:t xml:space="preserve">Belilovsky E., Galkin V., Yablonsky P., Shulgina M. Formation of MDR/XDR-TB indicators in the North-West District of Russia - The International J. of Tuberculosis and Lung Disease. </w:t>
      </w:r>
      <w:r w:rsidRPr="00A42A8B">
        <w:rPr>
          <w:rFonts w:ascii="Times New Roman" w:hAnsi="Times New Roman"/>
          <w:bCs/>
          <w:iCs/>
          <w:lang w:val="en-GB"/>
        </w:rPr>
        <w:t>4</w:t>
      </w:r>
      <w:r w:rsidRPr="00A42A8B">
        <w:rPr>
          <w:rFonts w:ascii="Times New Roman" w:hAnsi="Times New Roman"/>
          <w:bCs/>
          <w:iCs/>
          <w:lang w:val="en-US"/>
        </w:rPr>
        <w:t>4</w:t>
      </w:r>
      <w:r w:rsidRPr="00A42A8B">
        <w:rPr>
          <w:rFonts w:ascii="Times New Roman" w:hAnsi="Times New Roman"/>
          <w:bCs/>
          <w:iCs/>
          <w:vertAlign w:val="superscript"/>
          <w:lang w:val="en-GB"/>
        </w:rPr>
        <w:t>st</w:t>
      </w:r>
      <w:r w:rsidRPr="00A42A8B">
        <w:rPr>
          <w:rFonts w:ascii="Times New Roman" w:hAnsi="Times New Roman"/>
          <w:bCs/>
          <w:iCs/>
          <w:lang w:val="en-GB"/>
        </w:rPr>
        <w:t xml:space="preserve"> Union World Conference on Lung Health</w:t>
      </w:r>
      <w:r w:rsidRPr="00A42A8B">
        <w:rPr>
          <w:rFonts w:ascii="Times New Roman" w:hAnsi="Times New Roman"/>
          <w:bCs/>
          <w:iCs/>
          <w:lang w:val="en-US"/>
        </w:rPr>
        <w:t>, abstract book</w:t>
      </w:r>
      <w:r w:rsidRPr="00A42A8B">
        <w:rPr>
          <w:rFonts w:ascii="Times New Roman" w:hAnsi="Times New Roman"/>
          <w:lang w:val="en-US"/>
        </w:rPr>
        <w:t xml:space="preserve"> - Paris, 2013.- V.17, N12.- S. 492-493. (PC-915-03)</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Vasilyeva I, Samoilova A, Chernousova L, Larionova E. Analysis of patterns of multidrug-resistance in M. tuberculosis PS-852-28  The International Journal of Tuberculosis and Lung Disease, - volume 15, number 11, Nobember 2011, supplment 3. - S 159</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smartTag w:uri="urn:schemas:contacts" w:element="Sn">
        <w:r w:rsidRPr="00A42A8B">
          <w:rPr>
            <w:rFonts w:ascii="Times New Roman" w:hAnsi="Times New Roman"/>
            <w:lang w:val="en-US"/>
          </w:rPr>
          <w:t>Vasilyeva</w:t>
        </w:r>
      </w:smartTag>
      <w:r w:rsidRPr="00A42A8B">
        <w:rPr>
          <w:rFonts w:ascii="Times New Roman" w:hAnsi="Times New Roman"/>
          <w:lang w:val="en-US"/>
        </w:rPr>
        <w:t xml:space="preserve"> </w:t>
      </w:r>
      <w:smartTag w:uri="urn:schemas:contacts" w:element="Sn">
        <w:r w:rsidRPr="00A42A8B">
          <w:rPr>
            <w:rFonts w:ascii="Times New Roman" w:hAnsi="Times New Roman"/>
            <w:lang w:val="en-US"/>
          </w:rPr>
          <w:t>I.</w:t>
        </w:r>
      </w:smartTag>
      <w:r w:rsidRPr="00A42A8B">
        <w:rPr>
          <w:rFonts w:ascii="Times New Roman" w:hAnsi="Times New Roman"/>
          <w:lang w:val="en-US"/>
        </w:rPr>
        <w:t>, Samoilova A., Bagdasaryan T., Ergeshov A.  Linezolide in complex treatment of XDR-TB patients. European Respiratory Journal, 21-th ERS Annual Congress, Abstract book, Amsterdam, The Netherlands  -2011. P.811s</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en-US"/>
        </w:rPr>
        <w:t xml:space="preserve">Falzon D., Jaramillo E., Schu¨nemann H.J., Arentz M., Bauer M., Bayona J., Blanc L.,. Caminero J.A, Daley C.L., Duncombe C., Fitzpatrick C., Gebhard A., Getahun H., Henkens M., Holtz  T.H., Keravec J., Keshavjee S., Khan A.J., Kulier R., Leimane V., Lienhardt C., Lu C., Mariandyshev A.et al.  </w:t>
      </w:r>
      <w:r w:rsidRPr="00A42A8B">
        <w:rPr>
          <w:rFonts w:ascii="Times New Roman" w:hAnsi="Times New Roman"/>
          <w:lang w:val="en-US"/>
        </w:rPr>
        <w:t>WHO guidelines for the programmatic management of drug-resistant tuberculosis: 2011 update.</w:t>
      </w:r>
      <w:r w:rsidRPr="00A42A8B">
        <w:rPr>
          <w:rFonts w:ascii="Times New Roman" w:hAnsi="Times New Roman" w:cs="AdvPECF8B9"/>
          <w:color w:val="231F20"/>
          <w:lang w:val="en-US" w:eastAsia="ru-RU"/>
        </w:rPr>
        <w:t xml:space="preserve"> </w:t>
      </w:r>
      <w:r w:rsidRPr="00A42A8B">
        <w:rPr>
          <w:rFonts w:ascii="Times New Roman" w:hAnsi="Times New Roman"/>
          <w:lang w:val="en-US"/>
        </w:rPr>
        <w:t>Eur Respir J 2011; 38: 516–528.</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World Health Organization. Guidelines for the programmatic management of drug-resistant tuberculosis, 2011 update. Geneva, WHO, 2011. p.33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World Health Organization. Guidelines for the programmatic management of drug-resistant tuberculosis, 2006, Geneva, WHO, 174</w:t>
      </w:r>
      <w:r w:rsidRPr="00A42A8B">
        <w:rPr>
          <w:rFonts w:ascii="Times New Roman" w:hAnsi="Times New Roman"/>
        </w:rPr>
        <w:t>р</w:t>
      </w:r>
      <w:r w:rsidRPr="00A42A8B">
        <w:rPr>
          <w:rFonts w:ascii="Times New Roman" w:hAnsi="Times New Roman"/>
          <w:lang w:val="en-US"/>
        </w:rPr>
        <w:t xml:space="preserve">.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Multidrug and extensively drug-resistant TB (M/XDR-TB): 2010 global report on surveillance and response. Geneva, WHO, 2010 (WHO/HTM/TB/2010.3).</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Global tuberculosis control: WHO report 2010. Geneva, WHO, 2010 (WHO/HTM/TB/2010.7).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nl-NL"/>
        </w:rPr>
        <w:t xml:space="preserve">Orenstein EW, Basu S, Shah NS, et al. </w:t>
      </w:r>
      <w:r w:rsidRPr="00A42A8B">
        <w:rPr>
          <w:rFonts w:ascii="Times New Roman" w:hAnsi="Times New Roman"/>
          <w:lang w:val="en-US"/>
        </w:rPr>
        <w:t>Treatment outcomes among patients with multidrug-resistant tuberculosis: systematic review and meta-analysis. Lancet Infect Dis 2009; 9: 153–161.</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Resolution WHA62.15. Prevention and control of multidrug resistant tuberculosis and extensively drug-resistant tuberculosis. In: Sixty-second World Health Assembly: Resolutions and Decisions, Annexes. Geneva, WHO, 2009 (WHA62/2009/REC/ Available from: apps.who.int/gb/ebwha/pdf_files/WHA62-REC1/WHA62_REC1-en.pdf</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Guidelines for the programmatic management of drug-resistant tuberculosis. 1st Edn. Geneva, WHO, 2006 (WHO/HTM/TB/2006.361).</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Guidelines for the programmatic management of drug-resistant tuberculosis, Emergency update 2008. Geneva, WHO, 2008 (WHO/HTM/TB/2008.402).</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Shukhobodskaya E, Falzon D, Jaramillo E. Evaluation of the WHO guidelines on programmatic management of drug-resistant tuberculosis. Available from: </w:t>
      </w:r>
      <w:hyperlink r:id="rId9" w:history="1">
        <w:r w:rsidRPr="00A42A8B">
          <w:rPr>
            <w:rStyle w:val="Hyperlink"/>
            <w:rFonts w:ascii="Times New Roman" w:hAnsi="Times New Roman"/>
            <w:b/>
            <w:sz w:val="20"/>
            <w:lang w:val="en-US"/>
          </w:rPr>
          <w:t>www.worldlunghealth.org/Conf2009/website/assets/files/Abstract_Book_2009_Web.pdf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Richardson WS, Wilson MC, Nishikawa J, et al. The well-built clinical question: a key to evidence-based decisions. ACP J Club 1995; 123: A12–A13.</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Higgins JPT, Green S. Cochrane Handbook for Systematic Reviews of Interventions. Chichester, John Wiley &amp; Sons, 2008.</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Global burden of disease 2004 update: disability weights for diseases and conditions. Geneva, WHO, 2004. Available from: </w:t>
      </w:r>
      <w:hyperlink r:id="rId10" w:history="1">
        <w:r w:rsidRPr="00A42A8B">
          <w:rPr>
            <w:rStyle w:val="Hyperlink"/>
            <w:rFonts w:ascii="Times New Roman" w:hAnsi="Times New Roman"/>
            <w:b/>
            <w:sz w:val="20"/>
            <w:lang w:val="en-US"/>
          </w:rPr>
          <w:t>www.who.int/healthinfo/global_burden_disease/GBD2004_DisabilityWeights.pdf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da-DK"/>
        </w:rPr>
        <w:t xml:space="preserve">GuyattGH, OxmanAD, Kunz R, et al. </w:t>
      </w:r>
      <w:r w:rsidRPr="00A42A8B">
        <w:rPr>
          <w:rFonts w:ascii="Times New Roman" w:hAnsi="Times New Roman"/>
          <w:lang w:val="en-US"/>
        </w:rPr>
        <w:t>What is ‘‘quality of evidence’’ and why is it important to clinicians?BMJ, 20083; 336: 995–998.</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da-DK"/>
        </w:rPr>
        <w:t xml:space="preserve">Guyatt GH, Oxman AD, Kunz R, et al. </w:t>
      </w:r>
      <w:r w:rsidRPr="00A42A8B">
        <w:rPr>
          <w:rFonts w:ascii="Times New Roman" w:hAnsi="Times New Roman"/>
          <w:lang w:val="en-US"/>
        </w:rPr>
        <w:t>Going from evidence to recommendations. BMJ 2008; 336: 1049–1051.</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Oxlade O, Falzon D, Menzies D. The impact and cost-effectiveness of strategies to detect drug-resistant tuberculosis. Eur Respir J 2011; (In press).</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Guidelines for treatment of tuberculosis. 4th Edn. Geneva, WHO,2009 (WHO/HTM/TB/2009.420).</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Rapid Implementation of the Xpert MTB/RIF diagnostic test. Technical and operational ‘‘how-to’’ practical considerations.Geneva, WHO, 2011. Available from: whqlibdoc.who.int/publications/2011/9789241501569_eng.pdf</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da-DK"/>
        </w:rPr>
      </w:pPr>
      <w:r w:rsidRPr="00A0111B">
        <w:rPr>
          <w:rFonts w:ascii="Times New Roman" w:hAnsi="Times New Roman"/>
          <w:lang w:val="da-DK"/>
        </w:rPr>
        <w:t xml:space="preserve">Boehme CC, Nabeta P, Hillemann D, et al. </w:t>
      </w:r>
      <w:r w:rsidRPr="00A42A8B">
        <w:rPr>
          <w:rFonts w:ascii="Times New Roman" w:hAnsi="Times New Roman"/>
          <w:lang w:val="en-US"/>
        </w:rPr>
        <w:t xml:space="preserve">Rapid molecular detection of tuberculosis and rifampin resistance. </w:t>
      </w:r>
      <w:r w:rsidRPr="00A42A8B">
        <w:rPr>
          <w:rFonts w:ascii="Times New Roman" w:hAnsi="Times New Roman"/>
          <w:lang w:val="da-DK"/>
        </w:rPr>
        <w:t>N Engl J Med 2010; 363: 1005–1015.</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da-DK"/>
        </w:rPr>
        <w:t xml:space="preserve">Migliori GB, Lange C, Centis R, et al. </w:t>
      </w:r>
      <w:r w:rsidRPr="00A42A8B">
        <w:rPr>
          <w:rFonts w:ascii="Times New Roman" w:hAnsi="Times New Roman"/>
          <w:lang w:val="en-US"/>
        </w:rPr>
        <w:t>Resistance to second-line injectables and treatment outcomes in multidrug-resistant and extensively drug-resistant tuberculosis cases. Eur Respir J 2008; 31:1155–1159.</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da-DK"/>
        </w:rPr>
      </w:pPr>
      <w:r w:rsidRPr="00142DB3">
        <w:rPr>
          <w:rFonts w:ascii="Times New Roman" w:hAnsi="Times New Roman"/>
          <w:lang w:val="es-ES"/>
        </w:rPr>
        <w:t xml:space="preserve">Cox H, Kebede Y, Allamuratova S, et al. </w:t>
      </w:r>
      <w:r w:rsidRPr="00A42A8B">
        <w:rPr>
          <w:rFonts w:ascii="Times New Roman" w:hAnsi="Times New Roman"/>
          <w:lang w:val="en-US"/>
        </w:rPr>
        <w:t xml:space="preserve">Tuberculosis recurrence and mortality after successful treatment: impact of drug resistance. </w:t>
      </w:r>
      <w:r w:rsidRPr="00A42A8B">
        <w:rPr>
          <w:rFonts w:ascii="Times New Roman" w:hAnsi="Times New Roman"/>
          <w:lang w:val="da-DK"/>
        </w:rPr>
        <w:t>PLoS Med 2006; 3: e384.</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en-US"/>
        </w:rPr>
        <w:t xml:space="preserve">Holtz TH, Lancaster J, Laserson KF, et al. </w:t>
      </w:r>
      <w:r w:rsidRPr="00A42A8B">
        <w:rPr>
          <w:rFonts w:ascii="Times New Roman" w:hAnsi="Times New Roman"/>
          <w:lang w:val="en-US"/>
        </w:rPr>
        <w:t>Risk factors associated with default from multidrug-resistant tuberculosis treatment, South Africa, 1999–2001. Int J Tuberc Lung Dis 2006;10: 649–655.</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CDC, Partners In Health/NTP Peru, Partners In Health/Tomsk Prison &amp; Civilian TB Services, NTP Latvia, NTP Estonia, TDF/NTP Philippines, WHO. Case-based data collection: First 5 DOTSPlus Projects, 2000–2004 [dataset].</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en-US"/>
        </w:rPr>
        <w:t xml:space="preserve">Van Deun A, Maug AK, Salim MA, et al. </w:t>
      </w:r>
      <w:r w:rsidRPr="00A42A8B">
        <w:rPr>
          <w:rFonts w:ascii="Times New Roman" w:hAnsi="Times New Roman"/>
          <w:lang w:val="en-US"/>
        </w:rPr>
        <w:t>Short, highly effective, and inexpensive standardized treatment of multidrugresistant tuberculosis. Am J Respir Crit Care Med 2010; 182:684–692.</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Sua´rez PG, Floyd K, Portocarrero J, et al. Feasibility and costeffectiveness of standardised second-line drug treatment for chronic tuberculosis patients: a national cohort study in Peru.Lancet 2002; 359: 1980–1989.</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en-US"/>
        </w:rPr>
        <w:t xml:space="preserve">Tupasi TE, Gupta R, Quelapio MI, et al. </w:t>
      </w:r>
      <w:r w:rsidRPr="00A42A8B">
        <w:rPr>
          <w:rFonts w:ascii="Times New Roman" w:hAnsi="Times New Roman"/>
          <w:lang w:val="en-US"/>
        </w:rPr>
        <w:t>Feasibility and costeffectiveness of treating multidrug-resistant tuberculosis: a cohort study in the Philippines. PLoS Med 2006; 3: e352.</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The feasibility and efficiency of controlling MDR-TB using the DOTS-Plus strategy in the Russian Federation. Geneva, WHO, 2005 (WHO/HTM/TB/2005.357C).</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Johnston JC, Shahidi NC, Sadatsafavi M, et al. Treatment outcomes of multidrug-resistant tuberculosis: a systematic review and metaanalysis. PLoS One 2009; 4: e6914.</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Dowdy DW, O’Brien MA, Bishai D. Cost-effectiveness of novel diagnostic tools for the diagnosis of tuberculosis. Int J Tuberc Lung Dis 2008; 12: 1021–1029.</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142DB3">
        <w:rPr>
          <w:rFonts w:ascii="Times New Roman" w:hAnsi="Times New Roman"/>
          <w:lang w:val="fr-FR"/>
        </w:rPr>
        <w:t xml:space="preserve">Dowdy DW, Lourenc¸o MC, Cavalcante SC, et al. </w:t>
      </w:r>
      <w:r w:rsidRPr="00A42A8B">
        <w:rPr>
          <w:rFonts w:ascii="Times New Roman" w:hAnsi="Times New Roman"/>
          <w:lang w:val="en-US"/>
        </w:rPr>
        <w:t>Impact and costeffectiveness of culture for diagnosis of tuberculosis in HIVinfected Brazilian adults. PLoS One 2008; 3: e4057.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Menzies D, Oxlade O, Lewis M. Costs for tuberculosis care in Canada. Ottawa, Public Health Agency of Canada, 2006.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The efficiency of TB laboratory services in the Russian Federation. Policy Brief Number 5. Geneva, WHO, 2005 (WHO/HTM/TB/2005.357E).</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Albert H. Economic analysis of the diagnosis of smear-negative pulmonary tuberculosis in South Africa: incorporation of a new rapid test, FASTPlaqueTB, into the diagnostic algorithm. Int J Tuberc Lung Dis 2004; 8: 240–247.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Kamolratanakul P, Hiransithikul N, Singhadong N. Cost analysis of different types of tuberculosis patients at tuberculosis centers in Thailand. Southeast Asian J Trop Med Public Health 2002; 33: 321–330.</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The Economics of TB Drug Development. The Global Alliance for TB Drug Development 2001. Available from: </w:t>
      </w:r>
      <w:hyperlink r:id="rId11" w:history="1">
        <w:r w:rsidRPr="00A42A8B">
          <w:rPr>
            <w:rStyle w:val="Hyperlink"/>
            <w:rFonts w:ascii="Times New Roman" w:hAnsi="Times New Roman"/>
            <w:b/>
            <w:sz w:val="20"/>
            <w:lang w:val="en-US"/>
          </w:rPr>
          <w:t>www.tballiance.org/downloads/publications/TBA_Economics_Report.pdf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Akc¸akır Y. Correlates of treatment outcomes of multidrugresistant tuberculosis (MDR-TB): a systematic review and metaanalysis. MSc Thesis. Montreal, McGill University, 2010.</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142DB3">
        <w:rPr>
          <w:rFonts w:ascii="Times New Roman" w:hAnsi="Times New Roman"/>
          <w:lang w:val="fr-FR"/>
        </w:rPr>
        <w:t xml:space="preserve">Laserson KF, Thorpe LE, Leimane V, et al. </w:t>
      </w:r>
      <w:r w:rsidRPr="00A42A8B">
        <w:rPr>
          <w:rFonts w:ascii="Times New Roman" w:hAnsi="Times New Roman"/>
          <w:lang w:val="en-US"/>
        </w:rPr>
        <w:t>Speaking the same language: treatment outcome definitions for multidrug-resistant tuberculosis. Int J Tuberc Lung Dis 2005; 9: 640–645.</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Framework for implementing new tuberculosis diagnostics. Geneva, WHO, 2010. Available from: </w:t>
      </w:r>
      <w:hyperlink r:id="rId12" w:history="1">
        <w:r w:rsidRPr="00A42A8B">
          <w:rPr>
            <w:rStyle w:val="Hyperlink"/>
            <w:rFonts w:ascii="Times New Roman" w:hAnsi="Times New Roman"/>
            <w:b/>
            <w:sz w:val="20"/>
            <w:lang w:val="en-US"/>
          </w:rPr>
          <w:t>www.who.int/tb/laboratory/whopolicyframework_july10_revnov10.pdf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Policy guidance on drug susceptibility testing (DST) of second-line anti-tuberculosis drugs. Geneva, WHO, 2008 (WHO/HTM/TB/2008.392). Available from: whqlibdoc.who.int/hq/2008/WHO_HTM_TB_2008.392_eng.pdf</w:t>
      </w:r>
    </w:p>
    <w:p w:rsidR="00A97587" w:rsidRPr="00A0111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Ziganshina LE, Squire SB. Fluoroquinolones for treating tuberculosis. </w:t>
      </w:r>
      <w:r w:rsidRPr="00A0111B">
        <w:rPr>
          <w:rFonts w:ascii="Times New Roman" w:hAnsi="Times New Roman"/>
          <w:lang w:val="en-US"/>
        </w:rPr>
        <w:t>Cochrane Database Syst Rev 2008; 1: CD004795.</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da-DK"/>
        </w:rPr>
        <w:t xml:space="preserve">Lee H, Cho SN, Bang HE, et al. </w:t>
      </w:r>
      <w:r w:rsidRPr="00A0111B">
        <w:rPr>
          <w:rFonts w:ascii="Times New Roman" w:hAnsi="Times New Roman"/>
          <w:lang w:val="en-US"/>
        </w:rPr>
        <w:t xml:space="preserve">Exclusive mutations related to isoniazid and ethionamide resistance among Mycobacterium tuberculosis isolates from Korea. </w:t>
      </w:r>
      <w:r w:rsidRPr="00A42A8B">
        <w:rPr>
          <w:rFonts w:ascii="Times New Roman" w:hAnsi="Times New Roman"/>
          <w:lang w:val="en-US"/>
        </w:rPr>
        <w:t>Int J Tuberc Lung Dis 2000; 4:441–447.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142DB3">
        <w:rPr>
          <w:rFonts w:ascii="Times New Roman" w:hAnsi="Times New Roman"/>
          <w:lang w:val="es-ES"/>
        </w:rPr>
        <w:t xml:space="preserve">Burgos M, Gonzalez LC, Paz EA, et al. </w:t>
      </w:r>
      <w:r w:rsidRPr="00A42A8B">
        <w:rPr>
          <w:rFonts w:ascii="Times New Roman" w:hAnsi="Times New Roman"/>
          <w:lang w:val="en-US"/>
        </w:rPr>
        <w:t>Treatment of multidrugresistant tuberculosis in San Francisco: an outpatient-based approach. Clin Infect Dis 2005; 40: 968–975.</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da-DK"/>
        </w:rPr>
        <w:t xml:space="preserve">Dheda K, Shean K, Zumla A, et al. </w:t>
      </w:r>
      <w:r w:rsidRPr="00A42A8B">
        <w:rPr>
          <w:rFonts w:ascii="Times New Roman" w:hAnsi="Times New Roman"/>
          <w:lang w:val="en-US"/>
        </w:rPr>
        <w:t>Early treatment outcomes and HIV status of patients with extensively drug-resistant tuberculosis in South Africa: a retrospective cohort study. Lancet 2010; 375:1798–1807.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en-US"/>
        </w:rPr>
        <w:t xml:space="preserve">Eker B, Ortmann J, Migliori GB, et al. </w:t>
      </w:r>
      <w:r w:rsidRPr="00A42A8B">
        <w:rPr>
          <w:rFonts w:ascii="Times New Roman" w:hAnsi="Times New Roman"/>
          <w:lang w:val="en-US"/>
        </w:rPr>
        <w:t>Multidrug- and extensively drug-resistant tuberculosis, Germany. Emerg Infect Dis 2008; 14:1700–1706.</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Fonts w:ascii="Times New Roman" w:hAnsi="Times New Roman"/>
          <w:lang w:val="da-DK"/>
        </w:rPr>
        <w:t xml:space="preserve">El Sahly HM, Teeter LD, Pawlak RR, et al. </w:t>
      </w:r>
      <w:r w:rsidRPr="00A42A8B">
        <w:rPr>
          <w:rFonts w:ascii="Times New Roman" w:hAnsi="Times New Roman"/>
          <w:lang w:val="en-US"/>
        </w:rPr>
        <w:t>Drug-resistant tuberculosis: a disease of target populations in Houston, Texas.J Infect 2006; 53: 5–11.</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it-IT"/>
        </w:rPr>
      </w:pPr>
      <w:r w:rsidRPr="00A42A8B">
        <w:rPr>
          <w:rFonts w:ascii="Times New Roman" w:hAnsi="Times New Roman"/>
          <w:lang w:val="it-IT"/>
        </w:rPr>
        <w:t xml:space="preserve">Leimane V, Dravniece G, Riekstina V, et al. </w:t>
      </w:r>
      <w:r w:rsidRPr="00A42A8B">
        <w:rPr>
          <w:rFonts w:ascii="Times New Roman" w:hAnsi="Times New Roman"/>
          <w:lang w:val="en-US"/>
        </w:rPr>
        <w:t xml:space="preserve">Treatment outcome of multidrug/extensively drug-resistant tuberculosis in Latvia, 2000–2004. </w:t>
      </w:r>
      <w:r w:rsidRPr="00A42A8B">
        <w:rPr>
          <w:rFonts w:ascii="Times New Roman" w:hAnsi="Times New Roman"/>
          <w:lang w:val="it-IT"/>
        </w:rPr>
        <w:t>Eur Respir J 2010; 36: 584–593.</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it-IT"/>
        </w:rPr>
      </w:pPr>
      <w:r w:rsidRPr="00A42A8B">
        <w:rPr>
          <w:rFonts w:ascii="Times New Roman" w:hAnsi="Times New Roman"/>
          <w:lang w:val="it-IT"/>
        </w:rPr>
        <w:t xml:space="preserve">Migliori GB, Besozzi G, Girardi E, et al. </w:t>
      </w:r>
      <w:r w:rsidRPr="00A42A8B">
        <w:rPr>
          <w:rFonts w:ascii="Times New Roman" w:hAnsi="Times New Roman"/>
          <w:lang w:val="en-US"/>
        </w:rPr>
        <w:t xml:space="preserve">Clinical and operational value of the extensively drug-resistant tuberculosis definition. </w:t>
      </w:r>
      <w:r w:rsidRPr="00A42A8B">
        <w:rPr>
          <w:rFonts w:ascii="Times New Roman" w:hAnsi="Times New Roman"/>
          <w:lang w:val="it-IT"/>
        </w:rPr>
        <w:t>EurRespir J 2007; 30: 623–626.</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it-IT"/>
        </w:rPr>
        <w:t xml:space="preserve">Palmero D, Ritacco V, Ambroggi M, et al. </w:t>
      </w:r>
      <w:r w:rsidRPr="00A42A8B">
        <w:rPr>
          <w:rFonts w:ascii="Times New Roman" w:hAnsi="Times New Roman"/>
          <w:lang w:val="en-US"/>
        </w:rPr>
        <w:t>[Multidrug-resistanttuberculosis in AIDS patients at the beginning of the millennium.]Medicina (B Aires) 2006; 66: 399–404.</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Shean KP, Willcox PA, Siwendu SN, et al. Treatment outcome and follow-up of multidrug-resistant tuberculosis patients, West Coast/Winelands, South Africa, 1992–2002. Int J Tuberc Lung Dis2008; 12: 1182–1189.</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fr-FR"/>
        </w:rPr>
      </w:pPr>
      <w:r w:rsidRPr="00142DB3">
        <w:rPr>
          <w:rFonts w:ascii="Times New Roman" w:hAnsi="Times New Roman"/>
          <w:lang w:val="nl-NL"/>
        </w:rPr>
        <w:t xml:space="preserve">Varma JK, Nateniyom S, Akksilp S, et al. </w:t>
      </w:r>
      <w:r w:rsidRPr="00A42A8B">
        <w:rPr>
          <w:rFonts w:ascii="Times New Roman" w:hAnsi="Times New Roman"/>
          <w:lang w:val="en-US"/>
        </w:rPr>
        <w:t xml:space="preserve">HIV care and treatment factors associated with improved survival during TB treatment in Thailand: an observational study. </w:t>
      </w:r>
      <w:r w:rsidRPr="00A42A8B">
        <w:rPr>
          <w:rFonts w:ascii="Times New Roman" w:hAnsi="Times New Roman"/>
          <w:lang w:val="fr-FR"/>
        </w:rPr>
        <w:t>BMC Infect Dis 2009; 9: 42.</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142DB3">
        <w:rPr>
          <w:rFonts w:ascii="Times New Roman" w:hAnsi="Times New Roman"/>
          <w:lang w:val="en-US"/>
        </w:rPr>
        <w:t xml:space="preserve">Jamal LF, Guibu IA, Tancredi MV, et al. </w:t>
      </w:r>
      <w:r w:rsidRPr="00A42A8B">
        <w:rPr>
          <w:rFonts w:ascii="Times New Roman" w:hAnsi="Times New Roman"/>
          <w:lang w:val="en-US"/>
        </w:rPr>
        <w:t>Reliability and usefulness of TB/HIV co-infection data proceeding from developing countries. International Conference on AIDS 2004. Available from: gateway.nlm.nih.gov/MeetingAbstracts/ma?f5102280737.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Antiretroviral therapy for HIV infection in adults and adolescents: recommendations for a public health approach. 2010 revision. Geneva, WHO, 2010.</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Abdool Karim S, Naidoo K, Padayatchi N, et al. Optimal Timing of ART during TB Therapy: Findings of the SAPiT Trial. 18th Conference on Retroviruses and Opportunistic Infections, Boston, USA, 2011. Available from: </w:t>
      </w:r>
      <w:hyperlink r:id="rId13" w:history="1">
        <w:r w:rsidRPr="00A42A8B">
          <w:rPr>
            <w:rStyle w:val="Hyperlink"/>
            <w:rFonts w:ascii="Times New Roman" w:hAnsi="Times New Roman"/>
            <w:b/>
            <w:sz w:val="20"/>
            <w:lang w:val="en-US"/>
          </w:rPr>
          <w:t>www.retroconference.org/2011/Abstracts/42488.htm</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da-DK"/>
        </w:rPr>
        <w:t xml:space="preserve">Havlir D, Ive P, Kendall M, et al. </w:t>
      </w:r>
      <w:r w:rsidRPr="00A42A8B">
        <w:rPr>
          <w:rFonts w:ascii="Times New Roman" w:hAnsi="Times New Roman"/>
          <w:lang w:val="en-US"/>
        </w:rPr>
        <w:t>International randomized trial of immediate vs. early ART in HIV+ patients treated for TB: ACTG 21 STRIDE study. 18th Conference on Retroviruses and Opportunistic Infections, Boston, USA, 2011. Available from:www.retroconference.org/2011/Abstracts/41152.htm</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fr-FR"/>
        </w:rPr>
        <w:t xml:space="preserve">Blanc FX, Sok T, Laureillard D, et al. </w:t>
      </w:r>
      <w:r w:rsidRPr="00A42A8B">
        <w:rPr>
          <w:rFonts w:ascii="Times New Roman" w:hAnsi="Times New Roman"/>
          <w:lang w:val="en-US"/>
        </w:rPr>
        <w:t xml:space="preserve">Significant enhancement in survival with early (2 weeks) vs. late (8 weeks) initiation of highly active antiretroviral treatment (HAART) in severely immunosuppressed HIV-infected adults with newly diagnosed tuberculosis. 18th Intl AIDS Conf, Abstract THLBB106, Vienna, Austria, 2010.Available from: </w:t>
      </w:r>
      <w:hyperlink r:id="rId14" w:history="1">
        <w:r w:rsidRPr="00A42A8B">
          <w:rPr>
            <w:rStyle w:val="Hyperlink"/>
            <w:rFonts w:ascii="Times New Roman" w:hAnsi="Times New Roman"/>
            <w:b/>
            <w:sz w:val="20"/>
            <w:lang w:val="en-US"/>
          </w:rPr>
          <w:t>www.natap.org/2010/IAS/IAS_91.htm</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Fitzpatrick C, Floyd K. A systematic review of the cost and costeffectiveness of treatment for multidrug-resistant tuberculosis. Pharmacoeconomics 2011; (In press).</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WHO Policy on TB infection control in health-care facilities, congregate settings and households. Geneva, WHO, 2009 (WHO/HTM/TB/2009.419).</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Migliori GB, Loddenkemper R, Blasi F, et al. 125 years after Robert Koch’s discovery of the tubercle bacillus: the new XDR-TB threat. Is ‘‘science’’ enoughto tackle the epidemic?EurRespir J 2007; 29: 423–427.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2011 Update of the WHO Guidelines for the programmatic management of drug-resistant tuberculosis .</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lang w:val="en-US"/>
        </w:rPr>
        <w:t xml:space="preserve">Automated real-time nucleic acid amplification technology for rapid and simultaneous detection of tuberculosis and rifampicin resistance: Xpert MTB/RIF system.  </w:t>
      </w:r>
      <w:hyperlink r:id="rId15" w:history="1">
        <w:r w:rsidRPr="00A42A8B">
          <w:rPr>
            <w:rStyle w:val="Hyperlink"/>
            <w:rFonts w:ascii="Times New Roman" w:hAnsi="Times New Roman"/>
            <w:b/>
            <w:sz w:val="20"/>
            <w:lang w:val="en-US"/>
          </w:rPr>
          <w:t>http</w:t>
        </w:r>
        <w:r w:rsidRPr="00A42A8B">
          <w:rPr>
            <w:rStyle w:val="Hyperlink"/>
            <w:rFonts w:ascii="Times New Roman" w:hAnsi="Times New Roman"/>
            <w:b/>
            <w:sz w:val="20"/>
          </w:rPr>
          <w:t>://</w:t>
        </w:r>
        <w:r w:rsidRPr="00A42A8B">
          <w:rPr>
            <w:rStyle w:val="Hyperlink"/>
            <w:rFonts w:ascii="Times New Roman" w:hAnsi="Times New Roman"/>
            <w:b/>
            <w:sz w:val="20"/>
            <w:lang w:val="en-US"/>
          </w:rPr>
          <w:t>www</w:t>
        </w:r>
        <w:r w:rsidRPr="00A42A8B">
          <w:rPr>
            <w:rStyle w:val="Hyperlink"/>
            <w:rFonts w:ascii="Times New Roman" w:hAnsi="Times New Roman"/>
            <w:b/>
            <w:sz w:val="20"/>
          </w:rPr>
          <w:t>.</w:t>
        </w:r>
        <w:r w:rsidRPr="00A42A8B">
          <w:rPr>
            <w:rStyle w:val="Hyperlink"/>
            <w:rFonts w:ascii="Times New Roman" w:hAnsi="Times New Roman"/>
            <w:b/>
            <w:sz w:val="20"/>
            <w:lang w:val="en-US"/>
          </w:rPr>
          <w:t>who</w:t>
        </w:r>
        <w:r w:rsidRPr="00A42A8B">
          <w:rPr>
            <w:rStyle w:val="Hyperlink"/>
            <w:rFonts w:ascii="Times New Roman" w:hAnsi="Times New Roman"/>
            <w:b/>
            <w:sz w:val="20"/>
          </w:rPr>
          <w:t>.</w:t>
        </w:r>
        <w:r w:rsidRPr="00A42A8B">
          <w:rPr>
            <w:rStyle w:val="Hyperlink"/>
            <w:rFonts w:ascii="Times New Roman" w:hAnsi="Times New Roman"/>
            <w:b/>
            <w:sz w:val="20"/>
            <w:lang w:val="en-US"/>
          </w:rPr>
          <w:t>int</w:t>
        </w:r>
        <w:r w:rsidRPr="00A42A8B">
          <w:rPr>
            <w:rStyle w:val="Hyperlink"/>
            <w:rFonts w:ascii="Times New Roman" w:hAnsi="Times New Roman"/>
            <w:b/>
            <w:sz w:val="20"/>
          </w:rPr>
          <w:t>/</w:t>
        </w:r>
        <w:r w:rsidRPr="00A42A8B">
          <w:rPr>
            <w:rStyle w:val="Hyperlink"/>
            <w:rFonts w:ascii="Times New Roman" w:hAnsi="Times New Roman"/>
            <w:b/>
            <w:sz w:val="20"/>
            <w:lang w:val="en-US"/>
          </w:rPr>
          <w:t>publications</w:t>
        </w:r>
        <w:r w:rsidRPr="00A42A8B">
          <w:rPr>
            <w:rStyle w:val="Hyperlink"/>
            <w:rFonts w:ascii="Times New Roman" w:hAnsi="Times New Roman"/>
            <w:b/>
            <w:sz w:val="20"/>
          </w:rPr>
          <w:t>/2011/9789241501545_</w:t>
        </w:r>
        <w:r w:rsidRPr="00A42A8B">
          <w:rPr>
            <w:rStyle w:val="Hyperlink"/>
            <w:rFonts w:ascii="Times New Roman" w:hAnsi="Times New Roman"/>
            <w:b/>
            <w:sz w:val="20"/>
            <w:lang w:val="en-US"/>
          </w:rPr>
          <w:t>eng</w:t>
        </w:r>
        <w:r w:rsidRPr="00A42A8B">
          <w:rPr>
            <w:rStyle w:val="Hyperlink"/>
            <w:rFonts w:ascii="Times New Roman" w:hAnsi="Times New Roman"/>
            <w:b/>
            <w:sz w:val="20"/>
          </w:rPr>
          <w:t>.</w:t>
        </w:r>
        <w:r w:rsidRPr="00A42A8B">
          <w:rPr>
            <w:rStyle w:val="Hyperlink"/>
            <w:rFonts w:ascii="Times New Roman" w:hAnsi="Times New Roman"/>
            <w:b/>
            <w:sz w:val="20"/>
            <w:lang w:val="en-US"/>
          </w:rPr>
          <w:t>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Национальный стандарт Российской Федерации ГОСТ Р ИСО 15189-2006, Лаборатории медицинские: Частные требования к качеству и компетенции (</w:t>
      </w:r>
      <w:r w:rsidRPr="00A42A8B">
        <w:rPr>
          <w:rFonts w:ascii="Times New Roman" w:hAnsi="Times New Roman"/>
          <w:bCs/>
        </w:rPr>
        <w:t xml:space="preserve">ISO 15189:2006 </w:t>
      </w:r>
      <w:r w:rsidRPr="00A42A8B">
        <w:rPr>
          <w:rFonts w:ascii="Times New Roman" w:hAnsi="Times New Roman"/>
          <w:bCs/>
          <w:lang w:val="en-US"/>
        </w:rPr>
        <w:t>Medical</w:t>
      </w:r>
      <w:r w:rsidRPr="00A42A8B">
        <w:rPr>
          <w:rFonts w:ascii="Times New Roman" w:hAnsi="Times New Roman"/>
          <w:bCs/>
        </w:rPr>
        <w:t xml:space="preserve"> </w:t>
      </w:r>
      <w:r w:rsidRPr="00A42A8B">
        <w:rPr>
          <w:rFonts w:ascii="Times New Roman" w:hAnsi="Times New Roman"/>
          <w:bCs/>
          <w:lang w:val="en-US"/>
        </w:rPr>
        <w:t>laboratories</w:t>
      </w:r>
      <w:r w:rsidRPr="00A42A8B">
        <w:rPr>
          <w:rFonts w:ascii="Times New Roman" w:hAnsi="Times New Roman"/>
          <w:bCs/>
        </w:rPr>
        <w:t xml:space="preserve"> — </w:t>
      </w:r>
      <w:r w:rsidRPr="00A42A8B">
        <w:rPr>
          <w:rFonts w:ascii="Times New Roman" w:hAnsi="Times New Roman"/>
          <w:bCs/>
          <w:lang w:val="en-US"/>
        </w:rPr>
        <w:t>Particular</w:t>
      </w:r>
      <w:r w:rsidRPr="00A42A8B">
        <w:rPr>
          <w:rFonts w:ascii="Times New Roman" w:hAnsi="Times New Roman"/>
          <w:bCs/>
        </w:rPr>
        <w:t xml:space="preserve"> </w:t>
      </w:r>
      <w:r w:rsidRPr="00A42A8B">
        <w:rPr>
          <w:rFonts w:ascii="Times New Roman" w:hAnsi="Times New Roman"/>
          <w:bCs/>
          <w:lang w:val="en-US"/>
        </w:rPr>
        <w:t>requirements</w:t>
      </w:r>
      <w:r w:rsidRPr="00A42A8B">
        <w:rPr>
          <w:rFonts w:ascii="Times New Roman" w:hAnsi="Times New Roman"/>
          <w:bCs/>
        </w:rPr>
        <w:t xml:space="preserve"> </w:t>
      </w:r>
      <w:r w:rsidRPr="00A42A8B">
        <w:rPr>
          <w:rFonts w:ascii="Times New Roman" w:hAnsi="Times New Roman"/>
          <w:bCs/>
          <w:lang w:val="en-US"/>
        </w:rPr>
        <w:t>for</w:t>
      </w:r>
      <w:r w:rsidRPr="00A42A8B">
        <w:rPr>
          <w:rFonts w:ascii="Times New Roman" w:hAnsi="Times New Roman"/>
          <w:bCs/>
        </w:rPr>
        <w:t xml:space="preserve"> </w:t>
      </w:r>
      <w:r w:rsidRPr="00A42A8B">
        <w:rPr>
          <w:rFonts w:ascii="Times New Roman" w:hAnsi="Times New Roman"/>
          <w:bCs/>
          <w:lang w:val="en-US"/>
        </w:rPr>
        <w:t>quality</w:t>
      </w:r>
      <w:r w:rsidRPr="00A42A8B">
        <w:rPr>
          <w:rFonts w:ascii="Times New Roman" w:hAnsi="Times New Roman"/>
          <w:bCs/>
        </w:rPr>
        <w:t xml:space="preserve"> </w:t>
      </w:r>
      <w:r w:rsidRPr="00A42A8B">
        <w:rPr>
          <w:rFonts w:ascii="Times New Roman" w:hAnsi="Times New Roman"/>
          <w:bCs/>
          <w:lang w:val="en-US"/>
        </w:rPr>
        <w:t>and</w:t>
      </w:r>
      <w:r w:rsidRPr="00A42A8B">
        <w:rPr>
          <w:rFonts w:ascii="Times New Roman" w:hAnsi="Times New Roman"/>
          <w:bCs/>
        </w:rPr>
        <w:t xml:space="preserve"> </w:t>
      </w:r>
      <w:r w:rsidRPr="00A42A8B">
        <w:rPr>
          <w:rFonts w:ascii="Times New Roman" w:hAnsi="Times New Roman"/>
          <w:bCs/>
          <w:lang w:val="en-US"/>
        </w:rPr>
        <w:t>competence</w:t>
      </w:r>
      <w:r w:rsidRPr="00A42A8B">
        <w:rPr>
          <w:rFonts w:ascii="Times New Roman" w:hAnsi="Times New Roman"/>
          <w:bCs/>
        </w:rPr>
        <w:t>), М., 2007</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Strategic Approach for the Strengthening of Laboratory Services for Tuberculosis Control, 2006-2009, WHO, 2006 WHO/HTM/TB/2006.364</w:t>
      </w:r>
    </w:p>
    <w:p w:rsidR="00A97587" w:rsidRPr="00A42A8B" w:rsidRDefault="00A97587" w:rsidP="00A42A8B">
      <w:pPr>
        <w:pStyle w:val="List2"/>
        <w:numPr>
          <w:ilvl w:val="0"/>
          <w:numId w:val="32"/>
        </w:numPr>
        <w:spacing w:after="0" w:line="240" w:lineRule="auto"/>
        <w:ind w:firstLine="0"/>
        <w:jc w:val="both"/>
        <w:rPr>
          <w:rFonts w:ascii="Times New Roman" w:hAnsi="Times New Roman"/>
          <w:b/>
          <w:bCs/>
          <w:lang w:val="en-US"/>
        </w:rPr>
      </w:pPr>
      <w:r w:rsidRPr="00A42A8B">
        <w:rPr>
          <w:rFonts w:ascii="Times New Roman" w:hAnsi="Times New Roman"/>
          <w:lang w:val="en-US"/>
        </w:rPr>
        <w:t xml:space="preserve">Policy Framework for Implementing New Tuberculosis Diagnostics. </w:t>
      </w:r>
      <w:r w:rsidRPr="00A42A8B">
        <w:rPr>
          <w:rFonts w:ascii="Times New Roman" w:hAnsi="Times New Roman"/>
          <w:bCs/>
          <w:lang w:val="en-US"/>
        </w:rPr>
        <w:t xml:space="preserve">Policy statement </w:t>
      </w:r>
      <w:r w:rsidRPr="00A42A8B">
        <w:rPr>
          <w:rFonts w:ascii="Times New Roman" w:hAnsi="Times New Roman"/>
          <w:lang w:val="en-US"/>
        </w:rPr>
        <w:t xml:space="preserve">World Health Organization, 2011 Pre-publication copy March 2010  </w:t>
      </w:r>
      <w:hyperlink r:id="rId16" w:history="1">
        <w:r w:rsidRPr="00A42A8B">
          <w:rPr>
            <w:rStyle w:val="Hyperlink"/>
            <w:rFonts w:ascii="Times New Roman" w:hAnsi="Times New Roman"/>
            <w:b/>
            <w:sz w:val="20"/>
            <w:lang w:val="en-US"/>
          </w:rPr>
          <w:t>http://www.who.int/tb/laboratory/whopolicy_framework_mar2011.pdf</w:t>
        </w:r>
      </w:hyperlink>
      <w:r w:rsidRPr="00A42A8B">
        <w:rPr>
          <w:rFonts w:ascii="Times New Roman" w:hAnsi="Times New Roman"/>
          <w:lang w:val="en-US"/>
        </w:rPr>
        <w:t xml:space="preserve"> </w:t>
      </w:r>
    </w:p>
    <w:p w:rsidR="00A97587" w:rsidRPr="00A42A8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rPr>
        <w:t>Балабанова Я.М., Дробниевский Ф. и др. Оптимизация лабораторной диагностики туберкулеза с использованием современных бактериологических и молекулярно-биологических методов// Пробл. туб. и  болезн. легких – 2011- № 2- стр. 36-42</w:t>
      </w:r>
    </w:p>
    <w:p w:rsidR="00A97587" w:rsidRPr="00A0111B"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lang w:val="en-US"/>
        </w:rPr>
        <w:t>M</w:t>
      </w:r>
      <w:r w:rsidRPr="00A0111B">
        <w:rPr>
          <w:rFonts w:ascii="Times New Roman" w:hAnsi="Times New Roman"/>
        </w:rPr>
        <w:t>.</w:t>
      </w:r>
      <w:r w:rsidRPr="00A42A8B">
        <w:rPr>
          <w:rFonts w:ascii="Times New Roman" w:hAnsi="Times New Roman"/>
          <w:lang w:val="en-US"/>
        </w:rPr>
        <w:t>V</w:t>
      </w:r>
      <w:r w:rsidRPr="00A0111B">
        <w:rPr>
          <w:rFonts w:ascii="Times New Roman" w:hAnsi="Times New Roman"/>
        </w:rPr>
        <w:t xml:space="preserve">. </w:t>
      </w:r>
      <w:r w:rsidRPr="00A42A8B">
        <w:rPr>
          <w:rFonts w:ascii="Times New Roman" w:hAnsi="Times New Roman"/>
          <w:lang w:val="en-US"/>
        </w:rPr>
        <w:t>Shulgina</w:t>
      </w:r>
      <w:r w:rsidRPr="00A0111B">
        <w:rPr>
          <w:rFonts w:ascii="Times New Roman" w:hAnsi="Times New Roman"/>
        </w:rPr>
        <w:t xml:space="preserve">, </w:t>
      </w:r>
      <w:r w:rsidRPr="00A42A8B">
        <w:rPr>
          <w:rFonts w:ascii="Times New Roman" w:hAnsi="Times New Roman"/>
          <w:lang w:val="en-US"/>
        </w:rPr>
        <w:t>V</w:t>
      </w:r>
      <w:r w:rsidRPr="00A0111B">
        <w:rPr>
          <w:rFonts w:ascii="Times New Roman" w:hAnsi="Times New Roman"/>
        </w:rPr>
        <w:t>.</w:t>
      </w:r>
      <w:r w:rsidRPr="00A42A8B">
        <w:rPr>
          <w:rFonts w:ascii="Times New Roman" w:hAnsi="Times New Roman"/>
          <w:lang w:val="en-US"/>
        </w:rPr>
        <w:t>N</w:t>
      </w:r>
      <w:r w:rsidRPr="00A0111B">
        <w:rPr>
          <w:rFonts w:ascii="Times New Roman" w:hAnsi="Times New Roman"/>
        </w:rPr>
        <w:t xml:space="preserve">. </w:t>
      </w:r>
      <w:r w:rsidRPr="00A42A8B">
        <w:rPr>
          <w:rFonts w:ascii="Times New Roman" w:hAnsi="Times New Roman"/>
          <w:lang w:val="en-US"/>
        </w:rPr>
        <w:t>Malakhov</w:t>
      </w:r>
      <w:r w:rsidRPr="00A0111B">
        <w:rPr>
          <w:rFonts w:ascii="Times New Roman" w:hAnsi="Times New Roman"/>
        </w:rPr>
        <w:t xml:space="preserve">, </w:t>
      </w:r>
      <w:r w:rsidRPr="00A42A8B">
        <w:rPr>
          <w:rFonts w:ascii="Times New Roman" w:hAnsi="Times New Roman"/>
          <w:lang w:val="en-US"/>
        </w:rPr>
        <w:t>S</w:t>
      </w:r>
      <w:r w:rsidRPr="00A0111B">
        <w:rPr>
          <w:rFonts w:ascii="Times New Roman" w:hAnsi="Times New Roman"/>
        </w:rPr>
        <w:t>.</w:t>
      </w:r>
      <w:r w:rsidRPr="00A42A8B">
        <w:rPr>
          <w:rFonts w:ascii="Times New Roman" w:hAnsi="Times New Roman"/>
          <w:lang w:val="en-US"/>
        </w:rPr>
        <w:t>E</w:t>
      </w:r>
      <w:r w:rsidRPr="00A0111B">
        <w:rPr>
          <w:rFonts w:ascii="Times New Roman" w:hAnsi="Times New Roman"/>
        </w:rPr>
        <w:t>.</w:t>
      </w:r>
      <w:r w:rsidRPr="00A42A8B">
        <w:rPr>
          <w:rFonts w:ascii="Times New Roman" w:hAnsi="Times New Roman"/>
          <w:lang w:val="en-US"/>
        </w:rPr>
        <w:t>Hoffner</w:t>
      </w:r>
      <w:r w:rsidRPr="00A0111B">
        <w:rPr>
          <w:rFonts w:ascii="Times New Roman" w:hAnsi="Times New Roman"/>
        </w:rPr>
        <w:t xml:space="preserve">, </w:t>
      </w:r>
      <w:r w:rsidRPr="00A42A8B">
        <w:rPr>
          <w:rFonts w:ascii="Times New Roman" w:hAnsi="Times New Roman"/>
          <w:lang w:val="en-US"/>
        </w:rPr>
        <w:t>M</w:t>
      </w:r>
      <w:r w:rsidRPr="00A0111B">
        <w:rPr>
          <w:rFonts w:ascii="Times New Roman" w:hAnsi="Times New Roman"/>
        </w:rPr>
        <w:t xml:space="preserve">. </w:t>
      </w:r>
      <w:r w:rsidRPr="00A42A8B">
        <w:rPr>
          <w:rFonts w:ascii="Times New Roman" w:hAnsi="Times New Roman"/>
          <w:lang w:val="en-US"/>
        </w:rPr>
        <w:t>Haile</w:t>
      </w:r>
      <w:r w:rsidRPr="00A0111B">
        <w:rPr>
          <w:rFonts w:ascii="Times New Roman" w:hAnsi="Times New Roman"/>
        </w:rPr>
        <w:t xml:space="preserve">, </w:t>
      </w:r>
      <w:r w:rsidRPr="00A42A8B">
        <w:rPr>
          <w:rFonts w:ascii="Times New Roman" w:hAnsi="Times New Roman"/>
          <w:lang w:val="en-US"/>
        </w:rPr>
        <w:t>A</w:t>
      </w:r>
      <w:r w:rsidRPr="00A0111B">
        <w:rPr>
          <w:rFonts w:ascii="Times New Roman" w:hAnsi="Times New Roman"/>
        </w:rPr>
        <w:t xml:space="preserve">. </w:t>
      </w:r>
      <w:r w:rsidRPr="00A42A8B">
        <w:rPr>
          <w:rFonts w:ascii="Times New Roman" w:hAnsi="Times New Roman"/>
          <w:lang w:val="en-US"/>
        </w:rPr>
        <w:t>Wright</w:t>
      </w:r>
      <w:r w:rsidRPr="00A0111B">
        <w:rPr>
          <w:rFonts w:ascii="Times New Roman" w:hAnsi="Times New Roman"/>
        </w:rPr>
        <w:t xml:space="preserve">, 2009,  </w:t>
      </w:r>
      <w:r w:rsidRPr="00A42A8B">
        <w:rPr>
          <w:rFonts w:ascii="Times New Roman" w:hAnsi="Times New Roman"/>
          <w:lang w:val="en-US"/>
        </w:rPr>
        <w:t>Proficiency</w:t>
      </w:r>
      <w:r w:rsidRPr="00A0111B">
        <w:rPr>
          <w:rFonts w:ascii="Times New Roman" w:hAnsi="Times New Roman"/>
        </w:rPr>
        <w:t xml:space="preserve"> </w:t>
      </w:r>
      <w:r w:rsidRPr="00A42A8B">
        <w:rPr>
          <w:rFonts w:ascii="Times New Roman" w:hAnsi="Times New Roman"/>
          <w:lang w:val="en-US"/>
        </w:rPr>
        <w:t>Assessment</w:t>
      </w:r>
      <w:r w:rsidRPr="00A0111B">
        <w:rPr>
          <w:rFonts w:ascii="Times New Roman" w:hAnsi="Times New Roman"/>
        </w:rPr>
        <w:t xml:space="preserve"> </w:t>
      </w:r>
      <w:r w:rsidRPr="00A42A8B">
        <w:rPr>
          <w:rFonts w:ascii="Times New Roman" w:hAnsi="Times New Roman"/>
          <w:lang w:val="en-US"/>
        </w:rPr>
        <w:t>of</w:t>
      </w:r>
      <w:r w:rsidRPr="00A0111B">
        <w:rPr>
          <w:rFonts w:ascii="Times New Roman" w:hAnsi="Times New Roman"/>
        </w:rPr>
        <w:t xml:space="preserve"> </w:t>
      </w:r>
      <w:r w:rsidRPr="00A42A8B">
        <w:rPr>
          <w:rFonts w:ascii="Times New Roman" w:hAnsi="Times New Roman"/>
          <w:i/>
          <w:lang w:val="en-US"/>
        </w:rPr>
        <w:t>M</w:t>
      </w:r>
      <w:r w:rsidRPr="00A0111B">
        <w:rPr>
          <w:rFonts w:ascii="Times New Roman" w:hAnsi="Times New Roman"/>
          <w:i/>
        </w:rPr>
        <w:t xml:space="preserve">. </w:t>
      </w:r>
      <w:r w:rsidRPr="00A42A8B">
        <w:rPr>
          <w:rFonts w:ascii="Times New Roman" w:hAnsi="Times New Roman"/>
          <w:i/>
          <w:lang w:val="en-US"/>
        </w:rPr>
        <w:t>tuberculosis</w:t>
      </w:r>
      <w:r w:rsidRPr="00A0111B">
        <w:rPr>
          <w:rFonts w:ascii="Times New Roman" w:hAnsi="Times New Roman"/>
        </w:rPr>
        <w:t xml:space="preserve"> </w:t>
      </w:r>
      <w:r w:rsidRPr="00A42A8B">
        <w:rPr>
          <w:rFonts w:ascii="Times New Roman" w:hAnsi="Times New Roman"/>
          <w:lang w:val="en-US"/>
        </w:rPr>
        <w:t>Drug</w:t>
      </w:r>
      <w:r w:rsidRPr="00A0111B">
        <w:rPr>
          <w:rFonts w:ascii="Times New Roman" w:hAnsi="Times New Roman"/>
        </w:rPr>
        <w:t xml:space="preserve"> </w:t>
      </w:r>
      <w:r w:rsidRPr="00A42A8B">
        <w:rPr>
          <w:rFonts w:ascii="Times New Roman" w:hAnsi="Times New Roman"/>
          <w:lang w:val="en-US"/>
        </w:rPr>
        <w:t>Susceptibility</w:t>
      </w:r>
      <w:r w:rsidRPr="00A0111B">
        <w:rPr>
          <w:rFonts w:ascii="Times New Roman" w:hAnsi="Times New Roman"/>
        </w:rPr>
        <w:t xml:space="preserve"> </w:t>
      </w:r>
      <w:r w:rsidRPr="00A42A8B">
        <w:rPr>
          <w:rFonts w:ascii="Times New Roman" w:hAnsi="Times New Roman"/>
          <w:lang w:val="en-US"/>
        </w:rPr>
        <w:t>Testing</w:t>
      </w:r>
      <w:r w:rsidRPr="00A0111B">
        <w:rPr>
          <w:rFonts w:ascii="Times New Roman" w:hAnsi="Times New Roman"/>
        </w:rPr>
        <w:t xml:space="preserve"> </w:t>
      </w:r>
      <w:r w:rsidRPr="00A42A8B">
        <w:rPr>
          <w:rFonts w:ascii="Times New Roman" w:hAnsi="Times New Roman"/>
          <w:lang w:val="en-US"/>
        </w:rPr>
        <w:t>in</w:t>
      </w:r>
      <w:r w:rsidRPr="00A0111B">
        <w:rPr>
          <w:rFonts w:ascii="Times New Roman" w:hAnsi="Times New Roman"/>
        </w:rPr>
        <w:t xml:space="preserve"> </w:t>
      </w:r>
      <w:r w:rsidRPr="00A42A8B">
        <w:rPr>
          <w:rFonts w:ascii="Times New Roman" w:hAnsi="Times New Roman"/>
          <w:lang w:val="en-US"/>
        </w:rPr>
        <w:t>the</w:t>
      </w:r>
      <w:r w:rsidRPr="00A0111B">
        <w:rPr>
          <w:rFonts w:ascii="Times New Roman" w:hAnsi="Times New Roman"/>
        </w:rPr>
        <w:t xml:space="preserve"> </w:t>
      </w:r>
      <w:r w:rsidRPr="00A42A8B">
        <w:rPr>
          <w:rFonts w:ascii="Times New Roman" w:hAnsi="Times New Roman"/>
          <w:lang w:val="en-US"/>
        </w:rPr>
        <w:t>Russian</w:t>
      </w:r>
      <w:r w:rsidRPr="00A0111B">
        <w:rPr>
          <w:rFonts w:ascii="Times New Roman" w:hAnsi="Times New Roman"/>
        </w:rPr>
        <w:t xml:space="preserve"> </w:t>
      </w:r>
      <w:r w:rsidRPr="00A42A8B">
        <w:rPr>
          <w:rFonts w:ascii="Times New Roman" w:hAnsi="Times New Roman"/>
          <w:lang w:val="en-US"/>
        </w:rPr>
        <w:t>Federation</w:t>
      </w:r>
      <w:r w:rsidRPr="00A0111B">
        <w:rPr>
          <w:rFonts w:ascii="Times New Roman" w:hAnsi="Times New Roman"/>
        </w:rPr>
        <w:t xml:space="preserve">, 2005-2007 </w:t>
      </w:r>
      <w:r w:rsidRPr="00A42A8B">
        <w:rPr>
          <w:rFonts w:ascii="Times New Roman" w:hAnsi="Times New Roman"/>
          <w:lang w:val="en-US"/>
        </w:rPr>
        <w:t>Int</w:t>
      </w:r>
      <w:r w:rsidRPr="00A0111B">
        <w:rPr>
          <w:rFonts w:ascii="Times New Roman" w:hAnsi="Times New Roman"/>
        </w:rPr>
        <w:t xml:space="preserve"> </w:t>
      </w:r>
      <w:r w:rsidRPr="00A42A8B">
        <w:rPr>
          <w:rFonts w:ascii="Times New Roman" w:hAnsi="Times New Roman"/>
          <w:lang w:val="en-US"/>
        </w:rPr>
        <w:t>J</w:t>
      </w:r>
      <w:r w:rsidRPr="00A0111B">
        <w:rPr>
          <w:rFonts w:ascii="Times New Roman" w:hAnsi="Times New Roman"/>
        </w:rPr>
        <w:t xml:space="preserve"> </w:t>
      </w:r>
      <w:r w:rsidRPr="00A42A8B">
        <w:rPr>
          <w:rFonts w:ascii="Times New Roman" w:hAnsi="Times New Roman"/>
          <w:lang w:val="en-US"/>
        </w:rPr>
        <w:t>Tuberc</w:t>
      </w:r>
      <w:r w:rsidRPr="00A0111B">
        <w:rPr>
          <w:rFonts w:ascii="Times New Roman" w:hAnsi="Times New Roman"/>
        </w:rPr>
        <w:t xml:space="preserve"> </w:t>
      </w:r>
      <w:r w:rsidRPr="00A42A8B">
        <w:rPr>
          <w:rFonts w:ascii="Times New Roman" w:hAnsi="Times New Roman"/>
          <w:lang w:val="en-US"/>
        </w:rPr>
        <w:t>Lung</w:t>
      </w:r>
      <w:r w:rsidRPr="00A0111B">
        <w:rPr>
          <w:rFonts w:ascii="Times New Roman" w:hAnsi="Times New Roman"/>
        </w:rPr>
        <w:t xml:space="preserve"> </w:t>
      </w:r>
      <w:r w:rsidRPr="00A42A8B">
        <w:rPr>
          <w:rFonts w:ascii="Times New Roman" w:hAnsi="Times New Roman"/>
          <w:lang w:val="en-US"/>
        </w:rPr>
        <w:t>Dis</w:t>
      </w:r>
      <w:r w:rsidRPr="00A0111B">
        <w:rPr>
          <w:rFonts w:ascii="Times New Roman" w:hAnsi="Times New Roman"/>
        </w:rPr>
        <w:t xml:space="preserve">, </w:t>
      </w:r>
      <w:r w:rsidRPr="00A42A8B">
        <w:rPr>
          <w:rFonts w:ascii="Times New Roman" w:hAnsi="Times New Roman"/>
          <w:lang w:val="en-US"/>
        </w:rPr>
        <w:t>v</w:t>
      </w:r>
      <w:r w:rsidRPr="00A0111B">
        <w:rPr>
          <w:rFonts w:ascii="Times New Roman" w:hAnsi="Times New Roman"/>
        </w:rPr>
        <w:t>. 13, #10, 1294-1300</w:t>
      </w:r>
    </w:p>
    <w:p w:rsidR="00A97587" w:rsidRPr="00A42A8B" w:rsidRDefault="00A97587" w:rsidP="00A42A8B">
      <w:pPr>
        <w:pStyle w:val="List2"/>
        <w:numPr>
          <w:ilvl w:val="0"/>
          <w:numId w:val="32"/>
        </w:numPr>
        <w:spacing w:after="0" w:line="240" w:lineRule="auto"/>
        <w:ind w:firstLine="0"/>
        <w:jc w:val="both"/>
        <w:rPr>
          <w:rFonts w:ascii="Times New Roman" w:hAnsi="Times New Roman"/>
          <w:b/>
          <w:color w:val="000000"/>
          <w:lang w:val="en-US"/>
        </w:rPr>
      </w:pPr>
      <w:r w:rsidRPr="00A42A8B">
        <w:rPr>
          <w:rFonts w:ascii="Times New Roman" w:hAnsi="Times New Roman"/>
          <w:lang w:val="en-US"/>
        </w:rPr>
        <w:t xml:space="preserve">New Laboratory diagnostic tools for tuberculosis control. WHO, Stop TB Partnership, 2008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2011 Update of the WHO Guidelines for the programmatic management of drug-resistant tuberculosis (</w:t>
      </w:r>
      <w:r w:rsidRPr="00A42A8B">
        <w:rPr>
          <w:rFonts w:ascii="Times New Roman" w:hAnsi="Times New Roman"/>
        </w:rPr>
        <w:t>в</w:t>
      </w:r>
      <w:r w:rsidRPr="00A42A8B">
        <w:rPr>
          <w:rFonts w:ascii="Times New Roman" w:hAnsi="Times New Roman"/>
          <w:lang w:val="en-US"/>
        </w:rPr>
        <w:t xml:space="preserve"> </w:t>
      </w:r>
      <w:r w:rsidRPr="00A42A8B">
        <w:rPr>
          <w:rFonts w:ascii="Times New Roman" w:hAnsi="Times New Roman"/>
        </w:rPr>
        <w:t>печати</w:t>
      </w:r>
      <w:r w:rsidRPr="00A42A8B">
        <w:rPr>
          <w:rFonts w:ascii="Times New Roman" w:hAnsi="Times New Roman"/>
          <w:lang w:val="en-US"/>
        </w:rPr>
        <w:t>).</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Automated real-time nucleic acid amplification technology for rapid and simultaneous detection of tuberculosis and rifampicin resistance: Xpert MTB/RIF system.  </w:t>
      </w:r>
      <w:hyperlink r:id="rId17" w:history="1">
        <w:r w:rsidRPr="00A42A8B">
          <w:rPr>
            <w:rStyle w:val="Hyperlink"/>
            <w:rFonts w:ascii="Times New Roman" w:hAnsi="Times New Roman"/>
            <w:b/>
            <w:bCs/>
            <w:sz w:val="20"/>
            <w:lang w:val="en-US"/>
          </w:rPr>
          <w:t>http://www.who.int/publications/2011/9789241501545_eng.pdf</w:t>
        </w:r>
      </w:hyperlink>
      <w:r w:rsidRPr="00A42A8B">
        <w:rPr>
          <w:rFonts w:ascii="Times New Roman" w:hAnsi="Times New Roman"/>
          <w:color w:val="0000FF"/>
          <w:u w:val="single"/>
          <w:lang w:val="en-US"/>
        </w:rPr>
        <w:t xml:space="preserve">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Approaches to improve sputum smear microscopy for tuberculosis diagnosis. Expert group meeting Geneva:  31 October 2009 World Health Organization Pre-publication copy </w:t>
      </w:r>
      <w:hyperlink r:id="rId18" w:history="1">
        <w:r w:rsidRPr="00A42A8B">
          <w:rPr>
            <w:rStyle w:val="Hyperlink"/>
            <w:rFonts w:ascii="Times New Roman" w:hAnsi="Times New Roman"/>
            <w:b/>
            <w:sz w:val="20"/>
            <w:lang w:val="en-US"/>
          </w:rPr>
          <w:t>http://www.who.int/tb/laboratory/egmreport_microscopymethods_nov09.pdf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i/>
          <w:iCs/>
          <w:color w:val="000000"/>
          <w:lang w:val="en-US"/>
        </w:rPr>
      </w:pPr>
      <w:r w:rsidRPr="00A42A8B">
        <w:rPr>
          <w:rFonts w:ascii="Times New Roman" w:hAnsi="Times New Roman"/>
          <w:lang w:val="en-US"/>
        </w:rPr>
        <w:t>F</w:t>
      </w:r>
      <w:r w:rsidRPr="00A42A8B">
        <w:rPr>
          <w:rFonts w:ascii="Times New Roman" w:hAnsi="Times New Roman"/>
          <w:bCs/>
          <w:lang w:val="en-US"/>
        </w:rPr>
        <w:t xml:space="preserve">luorescent light-emitting diode (LED) microscopy for diagnosis of tuberculosis. Policy statement </w:t>
      </w:r>
      <w:r w:rsidRPr="00A42A8B">
        <w:rPr>
          <w:rFonts w:ascii="Times New Roman" w:hAnsi="Times New Roman"/>
          <w:lang w:val="en-US"/>
        </w:rPr>
        <w:t xml:space="preserve">World Health Organization, 2011 Pre-publication copy March 2010 </w:t>
      </w:r>
      <w:hyperlink r:id="rId19" w:history="1">
        <w:r w:rsidRPr="00A42A8B">
          <w:rPr>
            <w:rStyle w:val="Hyperlink"/>
            <w:rFonts w:ascii="Times New Roman" w:hAnsi="Times New Roman"/>
            <w:b/>
            <w:sz w:val="20"/>
            <w:lang w:val="en-US"/>
          </w:rPr>
          <w:t>http://www.who.int/tb/laboratory/whopolicy_led_microscopy_mar2011.pdf</w:t>
        </w:r>
      </w:hyperlink>
      <w:r w:rsidRPr="00A42A8B">
        <w:rPr>
          <w:rFonts w:ascii="Times New Roman" w:hAnsi="Times New Roman"/>
          <w:lang w:val="en-US"/>
        </w:rPr>
        <w:t xml:space="preserve">   </w:t>
      </w:r>
    </w:p>
    <w:p w:rsidR="00A97587" w:rsidRPr="00142DB3" w:rsidRDefault="00A97587" w:rsidP="00A42A8B">
      <w:pPr>
        <w:pStyle w:val="List2"/>
        <w:numPr>
          <w:ilvl w:val="0"/>
          <w:numId w:val="32"/>
        </w:numPr>
        <w:spacing w:after="0" w:line="240" w:lineRule="auto"/>
        <w:ind w:firstLine="0"/>
        <w:jc w:val="both"/>
        <w:rPr>
          <w:rFonts w:ascii="Times New Roman" w:hAnsi="Times New Roman"/>
          <w:b/>
        </w:rPr>
      </w:pPr>
      <w:r w:rsidRPr="00A42A8B">
        <w:rPr>
          <w:rFonts w:ascii="Times New Roman" w:hAnsi="Times New Roman"/>
          <w:iCs/>
          <w:lang w:val="en-US"/>
        </w:rPr>
        <w:t>Use of liquid TB culture and drug susceptibility testing in low and medium-income settings</w:t>
      </w:r>
      <w:r w:rsidRPr="00A42A8B">
        <w:rPr>
          <w:rFonts w:ascii="Times New Roman" w:hAnsi="Times New Roman"/>
          <w:lang w:val="en-US"/>
        </w:rPr>
        <w:t xml:space="preserve"> WHO, 2007. </w:t>
      </w:r>
      <w:hyperlink r:id="rId20" w:history="1">
        <w:r w:rsidRPr="00A42A8B">
          <w:rPr>
            <w:rStyle w:val="Hyperlink"/>
            <w:rFonts w:ascii="Times New Roman" w:hAnsi="Times New Roman"/>
            <w:b/>
            <w:sz w:val="20"/>
            <w:lang w:val="en-US"/>
          </w:rPr>
          <w:t>http</w:t>
        </w:r>
        <w:r w:rsidRPr="00142DB3">
          <w:rPr>
            <w:rStyle w:val="Hyperlink"/>
            <w:rFonts w:ascii="Times New Roman" w:hAnsi="Times New Roman"/>
            <w:b/>
            <w:sz w:val="20"/>
          </w:rPr>
          <w:t>://</w:t>
        </w:r>
        <w:r w:rsidRPr="00A42A8B">
          <w:rPr>
            <w:rStyle w:val="Hyperlink"/>
            <w:rFonts w:ascii="Times New Roman" w:hAnsi="Times New Roman"/>
            <w:b/>
            <w:sz w:val="20"/>
            <w:lang w:val="en-US"/>
          </w:rPr>
          <w:t>www</w:t>
        </w:r>
        <w:r w:rsidRPr="00142DB3">
          <w:rPr>
            <w:rStyle w:val="Hyperlink"/>
            <w:rFonts w:ascii="Times New Roman" w:hAnsi="Times New Roman"/>
            <w:b/>
            <w:sz w:val="20"/>
          </w:rPr>
          <w:t>.</w:t>
        </w:r>
        <w:r w:rsidRPr="00A42A8B">
          <w:rPr>
            <w:rStyle w:val="Hyperlink"/>
            <w:rFonts w:ascii="Times New Roman" w:hAnsi="Times New Roman"/>
            <w:b/>
            <w:sz w:val="20"/>
            <w:lang w:val="en-US"/>
          </w:rPr>
          <w:t>who</w:t>
        </w:r>
        <w:r w:rsidRPr="00142DB3">
          <w:rPr>
            <w:rStyle w:val="Hyperlink"/>
            <w:rFonts w:ascii="Times New Roman" w:hAnsi="Times New Roman"/>
            <w:b/>
            <w:sz w:val="20"/>
          </w:rPr>
          <w:t>.</w:t>
        </w:r>
        <w:r w:rsidRPr="00A42A8B">
          <w:rPr>
            <w:rStyle w:val="Hyperlink"/>
            <w:rFonts w:ascii="Times New Roman" w:hAnsi="Times New Roman"/>
            <w:b/>
            <w:sz w:val="20"/>
            <w:lang w:val="en-US"/>
          </w:rPr>
          <w:t>int</w:t>
        </w:r>
        <w:r w:rsidRPr="00142DB3">
          <w:rPr>
            <w:rStyle w:val="Hyperlink"/>
            <w:rFonts w:ascii="Times New Roman" w:hAnsi="Times New Roman"/>
            <w:b/>
            <w:sz w:val="20"/>
          </w:rPr>
          <w:t>/</w:t>
        </w:r>
        <w:r w:rsidRPr="00A42A8B">
          <w:rPr>
            <w:rStyle w:val="Hyperlink"/>
            <w:rFonts w:ascii="Times New Roman" w:hAnsi="Times New Roman"/>
            <w:b/>
            <w:sz w:val="20"/>
            <w:lang w:val="en-US"/>
          </w:rPr>
          <w:t>tb</w:t>
        </w:r>
        <w:r w:rsidRPr="00142DB3">
          <w:rPr>
            <w:rStyle w:val="Hyperlink"/>
            <w:rFonts w:ascii="Times New Roman" w:hAnsi="Times New Roman"/>
            <w:b/>
            <w:sz w:val="20"/>
          </w:rPr>
          <w:t>/</w:t>
        </w:r>
        <w:r w:rsidRPr="00A42A8B">
          <w:rPr>
            <w:rStyle w:val="Hyperlink"/>
            <w:rFonts w:ascii="Times New Roman" w:hAnsi="Times New Roman"/>
            <w:b/>
            <w:sz w:val="20"/>
            <w:lang w:val="en-US"/>
          </w:rPr>
          <w:t>laboratory</w:t>
        </w:r>
        <w:r w:rsidRPr="00142DB3">
          <w:rPr>
            <w:rStyle w:val="Hyperlink"/>
            <w:rFonts w:ascii="Times New Roman" w:hAnsi="Times New Roman"/>
            <w:b/>
            <w:sz w:val="20"/>
          </w:rPr>
          <w:t>/</w:t>
        </w:r>
        <w:r w:rsidRPr="00A42A8B">
          <w:rPr>
            <w:rStyle w:val="Hyperlink"/>
            <w:rFonts w:ascii="Times New Roman" w:hAnsi="Times New Roman"/>
            <w:b/>
            <w:sz w:val="20"/>
            <w:lang w:val="en-US"/>
          </w:rPr>
          <w:t>policy</w:t>
        </w:r>
        <w:r w:rsidRPr="00142DB3">
          <w:rPr>
            <w:rStyle w:val="Hyperlink"/>
            <w:rFonts w:ascii="Times New Roman" w:hAnsi="Times New Roman"/>
            <w:b/>
            <w:sz w:val="20"/>
          </w:rPr>
          <w:t>_</w:t>
        </w:r>
        <w:r w:rsidRPr="00A42A8B">
          <w:rPr>
            <w:rStyle w:val="Hyperlink"/>
            <w:rFonts w:ascii="Times New Roman" w:hAnsi="Times New Roman"/>
            <w:b/>
            <w:sz w:val="20"/>
            <w:lang w:val="en-US"/>
          </w:rPr>
          <w:t>statements</w:t>
        </w:r>
        <w:r w:rsidRPr="00142DB3">
          <w:rPr>
            <w:rStyle w:val="Hyperlink"/>
            <w:rFonts w:ascii="Times New Roman" w:hAnsi="Times New Roman"/>
            <w:b/>
            <w:sz w:val="20"/>
          </w:rPr>
          <w:t>/</w:t>
        </w:r>
        <w:r w:rsidRPr="00A42A8B">
          <w:rPr>
            <w:rStyle w:val="Hyperlink"/>
            <w:rFonts w:ascii="Times New Roman" w:hAnsi="Times New Roman"/>
            <w:b/>
            <w:sz w:val="20"/>
            <w:lang w:val="en-US"/>
          </w:rPr>
          <w:t>en</w:t>
        </w:r>
        <w:r w:rsidRPr="00142DB3">
          <w:rPr>
            <w:rStyle w:val="Hyperlink"/>
            <w:rFonts w:ascii="Times New Roman" w:hAnsi="Times New Roman"/>
            <w:b/>
            <w:sz w:val="20"/>
          </w:rPr>
          <w:t>/</w:t>
        </w:r>
        <w:r w:rsidRPr="00A42A8B">
          <w:rPr>
            <w:rStyle w:val="Hyperlink"/>
            <w:rFonts w:ascii="Times New Roman" w:hAnsi="Times New Roman"/>
            <w:b/>
            <w:sz w:val="20"/>
            <w:lang w:val="en-US"/>
          </w:rPr>
          <w:t>index</w:t>
        </w:r>
        <w:r w:rsidRPr="00142DB3">
          <w:rPr>
            <w:rStyle w:val="Hyperlink"/>
            <w:rFonts w:ascii="Times New Roman" w:hAnsi="Times New Roman"/>
            <w:b/>
            <w:sz w:val="20"/>
          </w:rPr>
          <w:t>.</w:t>
        </w:r>
        <w:r w:rsidRPr="00A42A8B">
          <w:rPr>
            <w:rStyle w:val="Hyperlink"/>
            <w:rFonts w:ascii="Times New Roman" w:hAnsi="Times New Roman"/>
            <w:b/>
            <w:sz w:val="20"/>
            <w:lang w:val="en-US"/>
          </w:rPr>
          <w:t>html</w:t>
        </w:r>
      </w:hyperlink>
      <w:r w:rsidRPr="00142DB3">
        <w:rPr>
          <w:rFonts w:ascii="Times New Roman" w:hAnsi="Times New Roman"/>
        </w:rPr>
        <w:t xml:space="preserve">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Noncommercial culture and drug-susceptibility testing methods for screening patients at risk for multi-drugresistant tuberculosis Policy statement World Health Organization, 2011 Pre-publication copy March 2010 </w:t>
      </w:r>
      <w:hyperlink r:id="rId21" w:history="1">
        <w:r w:rsidRPr="00A42A8B">
          <w:rPr>
            <w:rStyle w:val="Hyperlink"/>
            <w:rFonts w:ascii="Times New Roman" w:hAnsi="Times New Roman"/>
            <w:b/>
            <w:sz w:val="20"/>
            <w:lang w:val="en-US"/>
          </w:rPr>
          <w:t>http://www.who.int/tb/laboratory/whopolicy_noncommercialcultureanddstmethods_mar2010.pdf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Molecular Line-Probe Assays for rapid screening of patients at risk of multidrug-resistant  tuberculosis (MDR-TB)  </w:t>
      </w:r>
      <w:r w:rsidRPr="00A42A8B">
        <w:rPr>
          <w:rFonts w:ascii="Times New Roman" w:hAnsi="Times New Roman"/>
          <w:bCs/>
          <w:lang w:val="en-US"/>
        </w:rPr>
        <w:t xml:space="preserve">Policy statement </w:t>
      </w:r>
      <w:r w:rsidRPr="00A42A8B">
        <w:rPr>
          <w:rFonts w:ascii="Times New Roman" w:hAnsi="Times New Roman"/>
          <w:lang w:val="en-US"/>
        </w:rPr>
        <w:t xml:space="preserve">World Health Organization, 2008 </w:t>
      </w:r>
      <w:hyperlink r:id="rId22" w:history="1">
        <w:r w:rsidRPr="00A42A8B">
          <w:rPr>
            <w:rStyle w:val="Hyperlink"/>
            <w:rFonts w:ascii="Times New Roman" w:hAnsi="Times New Roman"/>
            <w:b/>
            <w:sz w:val="20"/>
            <w:lang w:val="en-US"/>
          </w:rPr>
          <w:t>http://www.who.int/tb/publications/who_policy_line_probe_assays_revoct10_ru.pdf</w:t>
        </w:r>
      </w:hyperlink>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42A8B">
        <w:rPr>
          <w:rFonts w:ascii="Times New Roman" w:hAnsi="Times New Roman"/>
          <w:lang w:val="en-US"/>
        </w:rPr>
        <w:t xml:space="preserve">Andrews R.H., Radhakrishna S., A comparison of two methods of sputum collection in the diagnosis of pulmonary TB, Tubercule 1959, 40: 155 – 162 </w:t>
      </w:r>
    </w:p>
    <w:p w:rsidR="00A97587" w:rsidRPr="00A42A8B" w:rsidRDefault="00A97587" w:rsidP="00A42A8B">
      <w:pPr>
        <w:pStyle w:val="List2"/>
        <w:numPr>
          <w:ilvl w:val="0"/>
          <w:numId w:val="32"/>
        </w:numPr>
        <w:spacing w:after="0" w:line="240" w:lineRule="auto"/>
        <w:ind w:firstLine="0"/>
        <w:jc w:val="both"/>
        <w:rPr>
          <w:rFonts w:ascii="Times New Roman" w:hAnsi="Times New Roman"/>
          <w:b/>
          <w:lang w:val="en-US"/>
        </w:rPr>
      </w:pPr>
      <w:r w:rsidRPr="00A0111B">
        <w:rPr>
          <w:rStyle w:val="st1"/>
          <w:rFonts w:ascii="Times New Roman" w:hAnsi="Times New Roman" w:cs="Arial"/>
          <w:b/>
          <w:bCs/>
          <w:color w:val="000000"/>
          <w:sz w:val="20"/>
          <w:lang w:val="en-US"/>
        </w:rPr>
        <w:t>Moore</w:t>
      </w:r>
      <w:r w:rsidRPr="00A0111B">
        <w:rPr>
          <w:rStyle w:val="st1"/>
          <w:rFonts w:ascii="Times New Roman" w:hAnsi="Times New Roman" w:cs="Arial"/>
          <w:b/>
          <w:color w:val="222222"/>
          <w:sz w:val="20"/>
          <w:lang w:val="en-US"/>
        </w:rPr>
        <w:t xml:space="preserve"> DA , Mendoza </w:t>
      </w:r>
      <w:r w:rsidRPr="00A0111B">
        <w:rPr>
          <w:rStyle w:val="st1"/>
          <w:rFonts w:ascii="Times New Roman" w:hAnsi="Times New Roman" w:cs="Arial"/>
          <w:b/>
          <w:bCs/>
          <w:color w:val="000000"/>
          <w:sz w:val="20"/>
          <w:lang w:val="en-US"/>
        </w:rPr>
        <w:t>D</w:t>
      </w:r>
      <w:r w:rsidRPr="00A0111B">
        <w:rPr>
          <w:rStyle w:val="st1"/>
          <w:rFonts w:ascii="Times New Roman" w:hAnsi="Times New Roman" w:cs="Arial"/>
          <w:b/>
          <w:color w:val="222222"/>
          <w:sz w:val="20"/>
          <w:lang w:val="en-US"/>
        </w:rPr>
        <w:t xml:space="preserve"> , Gilman RH , </w:t>
      </w:r>
      <w:r w:rsidRPr="00A0111B">
        <w:rPr>
          <w:rStyle w:val="st1"/>
          <w:rFonts w:ascii="Times New Roman" w:hAnsi="Times New Roman" w:cs="Arial"/>
          <w:b/>
          <w:bCs/>
          <w:color w:val="000000"/>
          <w:sz w:val="20"/>
          <w:lang w:val="en-US"/>
        </w:rPr>
        <w:t>et al</w:t>
      </w:r>
      <w:r w:rsidRPr="00A0111B">
        <w:rPr>
          <w:rFonts w:ascii="Times New Roman" w:hAnsi="Times New Roman"/>
          <w:lang w:val="en-US"/>
        </w:rPr>
        <w:t xml:space="preserve">. </w:t>
      </w:r>
      <w:r w:rsidRPr="00A42A8B">
        <w:rPr>
          <w:rFonts w:ascii="Times New Roman" w:hAnsi="Times New Roman"/>
          <w:lang w:val="en-US"/>
        </w:rPr>
        <w:t xml:space="preserve">Incremental Benefit of One and Two Sputum Cultures as Compared with Sputum-Smear Microscopy N Engl J Med 2006; 355:1539-1550 </w:t>
      </w:r>
    </w:p>
    <w:p w:rsidR="00A97587" w:rsidRPr="00A42A8B" w:rsidRDefault="00A97587" w:rsidP="00A42A8B">
      <w:pPr>
        <w:pStyle w:val="List2"/>
        <w:numPr>
          <w:ilvl w:val="0"/>
          <w:numId w:val="32"/>
        </w:numPr>
        <w:spacing w:after="0" w:line="240" w:lineRule="auto"/>
        <w:ind w:firstLine="0"/>
        <w:jc w:val="both"/>
        <w:rPr>
          <w:rFonts w:ascii="Times New Roman" w:hAnsi="Times New Roman"/>
          <w:b/>
          <w:bCs/>
          <w:lang w:val="en-US" w:eastAsia="ru-RU"/>
        </w:rPr>
      </w:pPr>
      <w:r w:rsidRPr="00A42A8B">
        <w:rPr>
          <w:rFonts w:ascii="Times New Roman" w:hAnsi="Times New Roman"/>
          <w:lang w:val="en-US"/>
        </w:rPr>
        <w:t xml:space="preserve">M.V. Shulgina, V.N. Malakhov, S.E.Hoffner, M. Haile, A. Wright. Proficiency Assessment of </w:t>
      </w:r>
      <w:r w:rsidRPr="00A42A8B">
        <w:rPr>
          <w:rFonts w:ascii="Times New Roman" w:hAnsi="Times New Roman"/>
          <w:i/>
          <w:lang w:val="en-US"/>
        </w:rPr>
        <w:t>M. tuberculosis</w:t>
      </w:r>
      <w:r w:rsidRPr="00A42A8B">
        <w:rPr>
          <w:rFonts w:ascii="Times New Roman" w:hAnsi="Times New Roman"/>
          <w:lang w:val="en-US"/>
        </w:rPr>
        <w:t xml:space="preserve"> Drug Suscepti</w:t>
      </w:r>
      <w:r w:rsidRPr="00A42A8B">
        <w:rPr>
          <w:rFonts w:ascii="Times New Roman" w:hAnsi="Times New Roman"/>
          <w:lang w:val="en-US"/>
        </w:rPr>
        <w:softHyphen/>
        <w:t>bility Testing in the Russian Federation, 2005-2007// Int J Tu</w:t>
      </w:r>
      <w:r w:rsidRPr="00A42A8B">
        <w:rPr>
          <w:rFonts w:ascii="Times New Roman" w:hAnsi="Times New Roman"/>
          <w:lang w:val="en-US"/>
        </w:rPr>
        <w:softHyphen/>
        <w:t xml:space="preserve">berc Lung Dis – 2009- v. 13, №10, pp 1294-1300 </w:t>
      </w:r>
    </w:p>
    <w:p w:rsidR="00A97587" w:rsidRPr="00A42A8B" w:rsidRDefault="00A97587" w:rsidP="00A42A8B">
      <w:pPr>
        <w:pStyle w:val="List2"/>
        <w:numPr>
          <w:ilvl w:val="0"/>
          <w:numId w:val="32"/>
        </w:numPr>
        <w:spacing w:after="0" w:line="240" w:lineRule="auto"/>
        <w:ind w:firstLine="0"/>
        <w:jc w:val="both"/>
        <w:rPr>
          <w:rFonts w:ascii="Times New Roman" w:hAnsi="Times New Roman"/>
          <w:b/>
          <w:bCs/>
          <w:lang w:val="en-US" w:eastAsia="ru-RU"/>
        </w:rPr>
      </w:pPr>
      <w:r w:rsidRPr="00A42A8B">
        <w:rPr>
          <w:rFonts w:ascii="Times New Roman" w:hAnsi="Times New Roman"/>
          <w:lang w:val="en-US" w:eastAsia="ru-RU"/>
        </w:rPr>
        <w:t xml:space="preserve">Best practices in prevention, control and care for drug resistant tuberculosis </w:t>
      </w:r>
      <w:r w:rsidRPr="00A42A8B">
        <w:rPr>
          <w:rFonts w:ascii="Times New Roman" w:hAnsi="Times New Roman"/>
          <w:bCs/>
          <w:lang w:val="en-US" w:eastAsia="ru-RU"/>
        </w:rPr>
        <w:t xml:space="preserve">World Health Organization 2013 </w:t>
      </w:r>
    </w:p>
    <w:p w:rsidR="00A97587" w:rsidRDefault="00A97587">
      <w:pPr>
        <w:pStyle w:val="List2"/>
        <w:numPr>
          <w:ilvl w:val="0"/>
          <w:numId w:val="32"/>
        </w:numPr>
        <w:spacing w:after="0" w:line="240" w:lineRule="auto"/>
        <w:ind w:firstLine="0"/>
        <w:jc w:val="both"/>
        <w:rPr>
          <w:rFonts w:ascii="Times New Roman" w:hAnsi="Times New Roman"/>
          <w:lang w:val="en-US" w:eastAsia="ru-RU"/>
        </w:rPr>
      </w:pPr>
      <w:r w:rsidRPr="00A42A8B">
        <w:rPr>
          <w:rFonts w:ascii="Times New Roman" w:hAnsi="Times New Roman"/>
          <w:lang w:val="en-US" w:eastAsia="ru-RU"/>
        </w:rPr>
        <w:t>Assessing the impact of new diagnostics on tuberculosis control – 2010-  Int J Tu</w:t>
      </w:r>
      <w:r w:rsidRPr="00A42A8B">
        <w:rPr>
          <w:rFonts w:ascii="Times New Roman" w:hAnsi="Times New Roman"/>
          <w:lang w:val="en-US" w:eastAsia="ru-RU"/>
        </w:rPr>
        <w:softHyphen/>
        <w:t xml:space="preserve">berc Lung Dis 14(12):1506–1507 2010 </w:t>
      </w:r>
    </w:p>
    <w:sectPr w:rsidR="00A97587" w:rsidSect="002C7D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87" w:rsidRDefault="00A97587">
      <w:pPr>
        <w:spacing w:after="0" w:line="240" w:lineRule="auto"/>
      </w:pPr>
      <w:r>
        <w:separator/>
      </w:r>
    </w:p>
  </w:endnote>
  <w:endnote w:type="continuationSeparator" w:id="0">
    <w:p w:rsidR="00A97587" w:rsidRDefault="00A97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dvPECF8B9">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87" w:rsidRDefault="00A97587">
    <w:pPr>
      <w:pStyle w:val="Footer"/>
      <w:jc w:val="right"/>
    </w:pPr>
    <w:fldSimple w:instr=" PAGE   \* MERGEFORMAT ">
      <w:r>
        <w:rPr>
          <w:noProof/>
        </w:rPr>
        <w:t>51</w:t>
      </w:r>
    </w:fldSimple>
  </w:p>
  <w:p w:rsidR="00A97587" w:rsidRDefault="00A97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87" w:rsidRDefault="00A97587">
      <w:pPr>
        <w:spacing w:after="0" w:line="240" w:lineRule="auto"/>
      </w:pPr>
      <w:r>
        <w:separator/>
      </w:r>
    </w:p>
  </w:footnote>
  <w:footnote w:type="continuationSeparator" w:id="0">
    <w:p w:rsidR="00A97587" w:rsidRDefault="00A97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87" w:rsidRDefault="00A97587" w:rsidP="00A0111B">
    <w:pPr>
      <w:pStyle w:val="Header"/>
      <w:ind w:firstLine="212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6.3pt;width:90.3pt;height:67.1pt;z-index:-251656192">
          <v:imagedata r:id="rId1" o:title=""/>
          <w10:wrap type="square"/>
        </v:shape>
      </w:pict>
    </w:r>
    <w:r>
      <w:t xml:space="preserve">        </w:t>
    </w:r>
  </w:p>
  <w:p w:rsidR="00A97587" w:rsidRDefault="00A97587" w:rsidP="00A0111B">
    <w:pPr>
      <w:pStyle w:val="Header"/>
      <w:ind w:firstLine="2124"/>
    </w:pPr>
  </w:p>
  <w:p w:rsidR="00A97587" w:rsidRPr="00FB581B" w:rsidRDefault="00A97587" w:rsidP="00A0111B">
    <w:pPr>
      <w:pStyle w:val="Header"/>
      <w:ind w:firstLine="2124"/>
      <w:jc w:val="right"/>
    </w:pPr>
    <w:r>
      <w:tab/>
      <w:t xml:space="preserve">        </w:t>
    </w:r>
    <w:r w:rsidRPr="00FB581B">
      <w:t xml:space="preserve">Ассоциация «Национальная Ассоциация Фтизиатров» </w:t>
    </w:r>
  </w:p>
  <w:p w:rsidR="00A97587" w:rsidRPr="00FB581B" w:rsidRDefault="00A97587" w:rsidP="00A0111B">
    <w:pPr>
      <w:pStyle w:val="Header"/>
      <w:jc w:val="right"/>
    </w:pPr>
    <w:r>
      <w:tab/>
    </w:r>
    <w:r w:rsidRPr="00FB581B">
      <w:t xml:space="preserve">191036, Санкт-Петербург, Лиговский пр., д. 2-4,  </w:t>
    </w:r>
  </w:p>
  <w:p w:rsidR="00A97587" w:rsidRDefault="00A97587" w:rsidP="00A0111B">
    <w:pPr>
      <w:pStyle w:val="Header"/>
      <w:jc w:val="right"/>
    </w:pPr>
    <w:r>
      <w:rPr>
        <w:noProof/>
        <w:lang w:eastAsia="ru-RU"/>
      </w:rPr>
      <w:pict>
        <v:line id="_x0000_s2050" style="position:absolute;left:0;text-align:left;z-index:251661312" from="-1.8pt,15.1pt" to="468pt,15.1pt"/>
      </w:pict>
    </w:r>
    <w:r w:rsidRPr="00FB581B">
      <w:tab/>
      <w:t xml:space="preserve">                тел.: (812) 579-25-54, факс: (812) 579-25-73, </w:t>
    </w:r>
    <w:r w:rsidRPr="00FB581B">
      <w:rPr>
        <w:lang w:val="en-US"/>
      </w:rPr>
      <w:t>www</w:t>
    </w:r>
    <w:r w:rsidRPr="00FB581B">
      <w:t>.</w:t>
    </w:r>
    <w:r w:rsidRPr="00FB581B">
      <w:rPr>
        <w:lang w:val="en-US"/>
      </w:rPr>
      <w:t>nasph</w:t>
    </w:r>
    <w:r w:rsidRPr="00FB581B">
      <w:t>.</w:t>
    </w:r>
    <w:r w:rsidRPr="00FB581B">
      <w:rPr>
        <w:lang w:val="en-US"/>
      </w:rPr>
      <w:t>ru</w:t>
    </w:r>
  </w:p>
  <w:p w:rsidR="00A97587" w:rsidRDefault="00A97587" w:rsidP="00A01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0429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E6A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723C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DEE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DE2D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A1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C4B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04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0B5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FA80C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18"/>
    <w:lvl w:ilvl="0">
      <w:numFmt w:val="bullet"/>
      <w:lvlText w:val="-"/>
      <w:lvlJc w:val="left"/>
      <w:pPr>
        <w:tabs>
          <w:tab w:val="num" w:pos="720"/>
        </w:tabs>
        <w:ind w:left="720" w:hanging="360"/>
      </w:pPr>
      <w:rPr>
        <w:rFonts w:ascii="Times New Roman" w:hAnsi="Times New Roman"/>
      </w:rPr>
    </w:lvl>
  </w:abstractNum>
  <w:abstractNum w:abstractNumId="11">
    <w:nsid w:val="0A7D7E1A"/>
    <w:multiLevelType w:val="hybridMultilevel"/>
    <w:tmpl w:val="1EE2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42F62"/>
    <w:multiLevelType w:val="hybridMultilevel"/>
    <w:tmpl w:val="D844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60540"/>
    <w:multiLevelType w:val="hybridMultilevel"/>
    <w:tmpl w:val="3D94BB1E"/>
    <w:lvl w:ilvl="0" w:tplc="F8AA17CC">
      <w:start w:val="1"/>
      <w:numFmt w:val="decimal"/>
      <w:lvlText w:val="%1."/>
      <w:lvlJc w:val="left"/>
      <w:pPr>
        <w:tabs>
          <w:tab w:val="num" w:pos="283"/>
        </w:tabs>
        <w:ind w:left="283"/>
      </w:pPr>
      <w:rPr>
        <w:rFonts w:cs="Times New Roman" w:hint="default"/>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14">
    <w:nsid w:val="2A595400"/>
    <w:multiLevelType w:val="multilevel"/>
    <w:tmpl w:val="2870AD4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20F2FEC"/>
    <w:multiLevelType w:val="hybridMultilevel"/>
    <w:tmpl w:val="32E27AE8"/>
    <w:lvl w:ilvl="0" w:tplc="9956E9A6">
      <w:start w:val="1"/>
      <w:numFmt w:val="decimal"/>
      <w:pStyle w:val="Heading1"/>
      <w:lvlText w:val="%1."/>
      <w:lvlJc w:val="left"/>
      <w:pPr>
        <w:tabs>
          <w:tab w:val="num" w:pos="1032"/>
        </w:tabs>
        <w:ind w:left="1032" w:hanging="675"/>
      </w:pPr>
      <w:rPr>
        <w:rFonts w:cs="Times New Roman" w:hint="default"/>
      </w:rPr>
    </w:lvl>
    <w:lvl w:ilvl="1" w:tplc="195EB526">
      <w:numFmt w:val="none"/>
      <w:lvlText w:val=""/>
      <w:lvlJc w:val="left"/>
      <w:pPr>
        <w:tabs>
          <w:tab w:val="num" w:pos="360"/>
        </w:tabs>
      </w:pPr>
      <w:rPr>
        <w:rFonts w:cs="Times New Roman"/>
      </w:rPr>
    </w:lvl>
    <w:lvl w:ilvl="2" w:tplc="F04086FE">
      <w:numFmt w:val="none"/>
      <w:pStyle w:val="Heading3"/>
      <w:lvlText w:val=""/>
      <w:lvlJc w:val="left"/>
      <w:pPr>
        <w:tabs>
          <w:tab w:val="num" w:pos="360"/>
        </w:tabs>
      </w:pPr>
      <w:rPr>
        <w:rFonts w:cs="Times New Roman"/>
      </w:rPr>
    </w:lvl>
    <w:lvl w:ilvl="3" w:tplc="229409AE">
      <w:numFmt w:val="none"/>
      <w:lvlText w:val=""/>
      <w:lvlJc w:val="left"/>
      <w:pPr>
        <w:tabs>
          <w:tab w:val="num" w:pos="360"/>
        </w:tabs>
      </w:pPr>
      <w:rPr>
        <w:rFonts w:cs="Times New Roman"/>
      </w:rPr>
    </w:lvl>
    <w:lvl w:ilvl="4" w:tplc="D12295AC">
      <w:numFmt w:val="none"/>
      <w:lvlText w:val=""/>
      <w:lvlJc w:val="left"/>
      <w:pPr>
        <w:tabs>
          <w:tab w:val="num" w:pos="360"/>
        </w:tabs>
      </w:pPr>
      <w:rPr>
        <w:rFonts w:cs="Times New Roman"/>
      </w:rPr>
    </w:lvl>
    <w:lvl w:ilvl="5" w:tplc="88A0FAE0">
      <w:numFmt w:val="none"/>
      <w:lvlText w:val=""/>
      <w:lvlJc w:val="left"/>
      <w:pPr>
        <w:tabs>
          <w:tab w:val="num" w:pos="360"/>
        </w:tabs>
      </w:pPr>
      <w:rPr>
        <w:rFonts w:cs="Times New Roman"/>
      </w:rPr>
    </w:lvl>
    <w:lvl w:ilvl="6" w:tplc="0EFE7F00">
      <w:numFmt w:val="none"/>
      <w:lvlText w:val=""/>
      <w:lvlJc w:val="left"/>
      <w:pPr>
        <w:tabs>
          <w:tab w:val="num" w:pos="360"/>
        </w:tabs>
      </w:pPr>
      <w:rPr>
        <w:rFonts w:cs="Times New Roman"/>
      </w:rPr>
    </w:lvl>
    <w:lvl w:ilvl="7" w:tplc="B24A5684">
      <w:numFmt w:val="none"/>
      <w:lvlText w:val=""/>
      <w:lvlJc w:val="left"/>
      <w:pPr>
        <w:tabs>
          <w:tab w:val="num" w:pos="360"/>
        </w:tabs>
      </w:pPr>
      <w:rPr>
        <w:rFonts w:cs="Times New Roman"/>
      </w:rPr>
    </w:lvl>
    <w:lvl w:ilvl="8" w:tplc="58ECB1A2">
      <w:numFmt w:val="none"/>
      <w:lvlText w:val=""/>
      <w:lvlJc w:val="left"/>
      <w:pPr>
        <w:tabs>
          <w:tab w:val="num" w:pos="360"/>
        </w:tabs>
      </w:pPr>
      <w:rPr>
        <w:rFonts w:cs="Times New Roman"/>
      </w:rPr>
    </w:lvl>
  </w:abstractNum>
  <w:abstractNum w:abstractNumId="16">
    <w:nsid w:val="3EE22DD2"/>
    <w:multiLevelType w:val="hybridMultilevel"/>
    <w:tmpl w:val="13E6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E706E"/>
    <w:multiLevelType w:val="hybridMultilevel"/>
    <w:tmpl w:val="D2C0A2E4"/>
    <w:lvl w:ilvl="0" w:tplc="00000006">
      <w:start w:val="1"/>
      <w:numFmt w:val="bullet"/>
      <w:lvlText w:val=""/>
      <w:lvlJc w:val="left"/>
      <w:pPr>
        <w:tabs>
          <w:tab w:val="num" w:pos="780"/>
        </w:tabs>
        <w:ind w:left="780" w:hanging="360"/>
      </w:pPr>
      <w:rPr>
        <w:rFonts w:ascii="Symbol" w:hAnsi="Symbol"/>
      </w:rPr>
    </w:lvl>
    <w:lvl w:ilvl="1" w:tplc="04190003">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4C8C64BF"/>
    <w:multiLevelType w:val="multilevel"/>
    <w:tmpl w:val="96D034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E6717CF"/>
    <w:multiLevelType w:val="hybridMultilevel"/>
    <w:tmpl w:val="859E7248"/>
    <w:lvl w:ilvl="0" w:tplc="10C22C4C">
      <w:start w:val="1"/>
      <w:numFmt w:val="decimal"/>
      <w:lvlText w:val="%1."/>
      <w:lvlJc w:val="left"/>
      <w:pPr>
        <w:tabs>
          <w:tab w:val="num" w:pos="360"/>
        </w:tabs>
        <w:ind w:left="360" w:hanging="360"/>
      </w:pPr>
      <w:rPr>
        <w:rFonts w:cs="Times New Roman" w:hint="default"/>
        <w:b/>
      </w:rPr>
    </w:lvl>
    <w:lvl w:ilvl="1" w:tplc="04190001">
      <w:start w:val="1"/>
      <w:numFmt w:val="bullet"/>
      <w:lvlText w:val=""/>
      <w:lvlJc w:val="left"/>
      <w:pPr>
        <w:tabs>
          <w:tab w:val="num" w:pos="1437"/>
        </w:tabs>
        <w:ind w:left="1437" w:hanging="360"/>
      </w:pPr>
      <w:rPr>
        <w:rFonts w:ascii="Symbol" w:hAnsi="Symbol" w:hint="default"/>
      </w:rPr>
    </w:lvl>
    <w:lvl w:ilvl="2" w:tplc="D0062178">
      <w:start w:val="1"/>
      <w:numFmt w:val="upperRoman"/>
      <w:lvlText w:val="%3."/>
      <w:lvlJc w:val="left"/>
      <w:pPr>
        <w:ind w:left="2697" w:hanging="720"/>
      </w:pPr>
      <w:rPr>
        <w:rFonts w:cs="Times New Roman" w:hint="default"/>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0">
    <w:nsid w:val="4F274E9A"/>
    <w:multiLevelType w:val="hybridMultilevel"/>
    <w:tmpl w:val="66C2BB2E"/>
    <w:lvl w:ilvl="0" w:tplc="0000000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874D38"/>
    <w:multiLevelType w:val="multilevel"/>
    <w:tmpl w:val="0040FCBE"/>
    <w:lvl w:ilvl="0">
      <w:start w:val="1"/>
      <w:numFmt w:val="decimal"/>
      <w:lvlText w:val="%1."/>
      <w:lvlJc w:val="left"/>
      <w:pPr>
        <w:tabs>
          <w:tab w:val="num" w:pos="-1819"/>
        </w:tabs>
        <w:ind w:left="-1819" w:hanging="432"/>
      </w:pPr>
      <w:rPr>
        <w:rFonts w:cs="Times New Roman" w:hint="default"/>
      </w:rPr>
    </w:lvl>
    <w:lvl w:ilvl="1">
      <w:start w:val="1"/>
      <w:numFmt w:val="decimal"/>
      <w:lvlText w:val="%1.%2."/>
      <w:lvlJc w:val="left"/>
      <w:pPr>
        <w:tabs>
          <w:tab w:val="num" w:pos="-1675"/>
        </w:tabs>
        <w:ind w:left="-1675" w:hanging="576"/>
      </w:pPr>
      <w:rPr>
        <w:rFonts w:cs="Times New Roman" w:hint="default"/>
      </w:rPr>
    </w:lvl>
    <w:lvl w:ilvl="2">
      <w:start w:val="1"/>
      <w:numFmt w:val="decimal"/>
      <w:lvlText w:val="%1.%2.%3."/>
      <w:lvlJc w:val="left"/>
      <w:pPr>
        <w:tabs>
          <w:tab w:val="num" w:pos="880"/>
        </w:tabs>
        <w:ind w:left="880" w:hanging="720"/>
      </w:pPr>
      <w:rPr>
        <w:rFonts w:cs="Times New Roman" w:hint="default"/>
      </w:rPr>
    </w:lvl>
    <w:lvl w:ilvl="3">
      <w:start w:val="1"/>
      <w:numFmt w:val="decimal"/>
      <w:lvlText w:val="%1.%2.%3.%4"/>
      <w:lvlJc w:val="left"/>
      <w:pPr>
        <w:tabs>
          <w:tab w:val="num" w:pos="-1387"/>
        </w:tabs>
        <w:ind w:left="-1387" w:hanging="864"/>
      </w:pPr>
      <w:rPr>
        <w:rFonts w:cs="Times New Roman" w:hint="default"/>
      </w:rPr>
    </w:lvl>
    <w:lvl w:ilvl="4">
      <w:start w:val="1"/>
      <w:numFmt w:val="decimal"/>
      <w:lvlText w:val="%1.%2.%3.%4.%5"/>
      <w:lvlJc w:val="left"/>
      <w:pPr>
        <w:tabs>
          <w:tab w:val="num" w:pos="-1243"/>
        </w:tabs>
        <w:ind w:left="-1243" w:hanging="1008"/>
      </w:pPr>
      <w:rPr>
        <w:rFonts w:cs="Times New Roman" w:hint="default"/>
      </w:rPr>
    </w:lvl>
    <w:lvl w:ilvl="5">
      <w:start w:val="1"/>
      <w:numFmt w:val="decimal"/>
      <w:lvlText w:val="%1.%2.%3.%4.%5.%6"/>
      <w:lvlJc w:val="left"/>
      <w:pPr>
        <w:tabs>
          <w:tab w:val="num" w:pos="-1099"/>
        </w:tabs>
        <w:ind w:left="-1099" w:hanging="1152"/>
      </w:pPr>
      <w:rPr>
        <w:rFonts w:cs="Times New Roman" w:hint="default"/>
      </w:rPr>
    </w:lvl>
    <w:lvl w:ilvl="6">
      <w:start w:val="1"/>
      <w:numFmt w:val="decimal"/>
      <w:lvlText w:val="%1.%2.%3.%4.%5.%6.%7"/>
      <w:lvlJc w:val="left"/>
      <w:pPr>
        <w:tabs>
          <w:tab w:val="num" w:pos="-955"/>
        </w:tabs>
        <w:ind w:left="-955" w:hanging="1296"/>
      </w:pPr>
      <w:rPr>
        <w:rFonts w:cs="Times New Roman" w:hint="default"/>
      </w:rPr>
    </w:lvl>
    <w:lvl w:ilvl="7">
      <w:start w:val="1"/>
      <w:numFmt w:val="decimal"/>
      <w:lvlText w:val="%1.%2.%3.%4.%5.%6.%7.%8"/>
      <w:lvlJc w:val="left"/>
      <w:pPr>
        <w:tabs>
          <w:tab w:val="num" w:pos="-811"/>
        </w:tabs>
        <w:ind w:left="-811" w:hanging="1440"/>
      </w:pPr>
      <w:rPr>
        <w:rFonts w:cs="Times New Roman" w:hint="default"/>
      </w:rPr>
    </w:lvl>
    <w:lvl w:ilvl="8">
      <w:start w:val="1"/>
      <w:numFmt w:val="decimal"/>
      <w:lvlText w:val="%1.%2.%3.%4.%5.%6.%7.%8.%9"/>
      <w:lvlJc w:val="left"/>
      <w:pPr>
        <w:tabs>
          <w:tab w:val="num" w:pos="-667"/>
        </w:tabs>
        <w:ind w:left="-667" w:hanging="1584"/>
      </w:pPr>
      <w:rPr>
        <w:rFonts w:cs="Times New Roman" w:hint="default"/>
      </w:rPr>
    </w:lvl>
  </w:abstractNum>
  <w:abstractNum w:abstractNumId="22">
    <w:nsid w:val="61956F53"/>
    <w:multiLevelType w:val="multilevel"/>
    <w:tmpl w:val="4A2ABA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2FA6F60"/>
    <w:multiLevelType w:val="multilevel"/>
    <w:tmpl w:val="B23AD85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3131"/>
        </w:tabs>
        <w:ind w:left="3131"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B6517BB"/>
    <w:multiLevelType w:val="hybridMultilevel"/>
    <w:tmpl w:val="0F3A8168"/>
    <w:lvl w:ilvl="0" w:tplc="0419000F">
      <w:start w:val="1"/>
      <w:numFmt w:val="decimal"/>
      <w:lvlText w:val="%1."/>
      <w:lvlJc w:val="left"/>
      <w:pPr>
        <w:tabs>
          <w:tab w:val="num" w:pos="1434"/>
        </w:tabs>
        <w:ind w:left="1434"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num w:numId="1">
    <w:abstractNumId w:val="9"/>
  </w:num>
  <w:num w:numId="2">
    <w:abstractNumId w:val="3"/>
  </w:num>
  <w:num w:numId="3">
    <w:abstractNumId w:val="9"/>
  </w:num>
  <w:num w:numId="4">
    <w:abstractNumId w:val="3"/>
  </w:num>
  <w:num w:numId="5">
    <w:abstractNumId w:val="9"/>
  </w:num>
  <w:num w:numId="6">
    <w:abstractNumId w:val="3"/>
  </w:num>
  <w:num w:numId="7">
    <w:abstractNumId w:val="9"/>
  </w:num>
  <w:num w:numId="8">
    <w:abstractNumId w:val="9"/>
  </w:num>
  <w:num w:numId="9">
    <w:abstractNumId w:val="9"/>
  </w:num>
  <w:num w:numId="10">
    <w:abstractNumId w:val="18"/>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5"/>
  </w:num>
  <w:num w:numId="16">
    <w:abstractNumId w:val="21"/>
  </w:num>
  <w:num w:numId="17">
    <w:abstractNumId w:val="9"/>
  </w:num>
  <w:num w:numId="18">
    <w:abstractNumId w:val="10"/>
  </w:num>
  <w:num w:numId="19">
    <w:abstractNumId w:val="19"/>
  </w:num>
  <w:num w:numId="20">
    <w:abstractNumId w:val="23"/>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1"/>
    <w:lvlOverride w:ilvl="0">
      <w:startOverride w:val="2"/>
    </w:lvlOverride>
  </w:num>
  <w:num w:numId="32">
    <w:abstractNumId w:val="13"/>
  </w:num>
  <w:num w:numId="33">
    <w:abstractNumId w:val="14"/>
  </w:num>
  <w:num w:numId="34">
    <w:abstractNumId w:val="21"/>
  </w:num>
  <w:num w:numId="35">
    <w:abstractNumId w:val="21"/>
  </w:num>
  <w:num w:numId="36">
    <w:abstractNumId w:val="21"/>
  </w:num>
  <w:num w:numId="37">
    <w:abstractNumId w:val="16"/>
  </w:num>
  <w:num w:numId="38">
    <w:abstractNumId w:val="2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017"/>
    <w:rsid w:val="000017FC"/>
    <w:rsid w:val="00004490"/>
    <w:rsid w:val="00005D83"/>
    <w:rsid w:val="00012B48"/>
    <w:rsid w:val="00016248"/>
    <w:rsid w:val="00023FDF"/>
    <w:rsid w:val="00024507"/>
    <w:rsid w:val="0002478D"/>
    <w:rsid w:val="000248BF"/>
    <w:rsid w:val="00025934"/>
    <w:rsid w:val="00025B2D"/>
    <w:rsid w:val="000260F2"/>
    <w:rsid w:val="00033C89"/>
    <w:rsid w:val="00042CF2"/>
    <w:rsid w:val="00044AAB"/>
    <w:rsid w:val="000459A9"/>
    <w:rsid w:val="00051540"/>
    <w:rsid w:val="000516FC"/>
    <w:rsid w:val="00056EB3"/>
    <w:rsid w:val="000601D7"/>
    <w:rsid w:val="000612B8"/>
    <w:rsid w:val="00064572"/>
    <w:rsid w:val="0006555B"/>
    <w:rsid w:val="00065EE6"/>
    <w:rsid w:val="00071201"/>
    <w:rsid w:val="00071408"/>
    <w:rsid w:val="00072A31"/>
    <w:rsid w:val="0008103B"/>
    <w:rsid w:val="00083862"/>
    <w:rsid w:val="00084304"/>
    <w:rsid w:val="00084BB5"/>
    <w:rsid w:val="00085F19"/>
    <w:rsid w:val="00087A1C"/>
    <w:rsid w:val="00092C59"/>
    <w:rsid w:val="000950D9"/>
    <w:rsid w:val="00096DB3"/>
    <w:rsid w:val="000A14A8"/>
    <w:rsid w:val="000A6433"/>
    <w:rsid w:val="000B4017"/>
    <w:rsid w:val="000B5EE6"/>
    <w:rsid w:val="000C1BD2"/>
    <w:rsid w:val="000C3F0D"/>
    <w:rsid w:val="000C4B16"/>
    <w:rsid w:val="000D0451"/>
    <w:rsid w:val="000D33E4"/>
    <w:rsid w:val="000D3492"/>
    <w:rsid w:val="000D35AC"/>
    <w:rsid w:val="000D6521"/>
    <w:rsid w:val="000E0707"/>
    <w:rsid w:val="000E123A"/>
    <w:rsid w:val="000E12E8"/>
    <w:rsid w:val="000E13AD"/>
    <w:rsid w:val="000E3120"/>
    <w:rsid w:val="000E4036"/>
    <w:rsid w:val="000E5B34"/>
    <w:rsid w:val="000F0BBC"/>
    <w:rsid w:val="000F267D"/>
    <w:rsid w:val="000F6903"/>
    <w:rsid w:val="000F6CBC"/>
    <w:rsid w:val="000F7379"/>
    <w:rsid w:val="000F737C"/>
    <w:rsid w:val="001011A9"/>
    <w:rsid w:val="0010565B"/>
    <w:rsid w:val="001122A2"/>
    <w:rsid w:val="00112691"/>
    <w:rsid w:val="00114F93"/>
    <w:rsid w:val="00116311"/>
    <w:rsid w:val="00117565"/>
    <w:rsid w:val="00120210"/>
    <w:rsid w:val="0012111E"/>
    <w:rsid w:val="001244BB"/>
    <w:rsid w:val="00124BE8"/>
    <w:rsid w:val="0013291F"/>
    <w:rsid w:val="00136C1B"/>
    <w:rsid w:val="00142DB3"/>
    <w:rsid w:val="001450CC"/>
    <w:rsid w:val="0014704E"/>
    <w:rsid w:val="00147134"/>
    <w:rsid w:val="00151F44"/>
    <w:rsid w:val="00164C3D"/>
    <w:rsid w:val="00165402"/>
    <w:rsid w:val="00174B3C"/>
    <w:rsid w:val="001871E7"/>
    <w:rsid w:val="00192261"/>
    <w:rsid w:val="00193EA5"/>
    <w:rsid w:val="00193F5D"/>
    <w:rsid w:val="0019523C"/>
    <w:rsid w:val="001A0B4C"/>
    <w:rsid w:val="001A10BC"/>
    <w:rsid w:val="001A124A"/>
    <w:rsid w:val="001A4FCF"/>
    <w:rsid w:val="001B085D"/>
    <w:rsid w:val="001B34AA"/>
    <w:rsid w:val="001B6517"/>
    <w:rsid w:val="001B7EEB"/>
    <w:rsid w:val="001C5ACA"/>
    <w:rsid w:val="001D1E8F"/>
    <w:rsid w:val="001D7235"/>
    <w:rsid w:val="001E2199"/>
    <w:rsid w:val="001E2FF1"/>
    <w:rsid w:val="001E5039"/>
    <w:rsid w:val="001F23B4"/>
    <w:rsid w:val="001F7C37"/>
    <w:rsid w:val="00204F34"/>
    <w:rsid w:val="002055E4"/>
    <w:rsid w:val="002156E5"/>
    <w:rsid w:val="002160E2"/>
    <w:rsid w:val="00217011"/>
    <w:rsid w:val="002173D7"/>
    <w:rsid w:val="00225E70"/>
    <w:rsid w:val="00225FAF"/>
    <w:rsid w:val="0022788A"/>
    <w:rsid w:val="00227C67"/>
    <w:rsid w:val="0024475C"/>
    <w:rsid w:val="002452CB"/>
    <w:rsid w:val="00245FA6"/>
    <w:rsid w:val="00247676"/>
    <w:rsid w:val="0024786E"/>
    <w:rsid w:val="0025185F"/>
    <w:rsid w:val="0025390B"/>
    <w:rsid w:val="002539C5"/>
    <w:rsid w:val="002544FC"/>
    <w:rsid w:val="0025495C"/>
    <w:rsid w:val="00255AFE"/>
    <w:rsid w:val="00260431"/>
    <w:rsid w:val="00262935"/>
    <w:rsid w:val="00265D1B"/>
    <w:rsid w:val="00266B67"/>
    <w:rsid w:val="00267470"/>
    <w:rsid w:val="0026765E"/>
    <w:rsid w:val="002679CF"/>
    <w:rsid w:val="00272C10"/>
    <w:rsid w:val="00272CD5"/>
    <w:rsid w:val="00275C23"/>
    <w:rsid w:val="00287714"/>
    <w:rsid w:val="0029069A"/>
    <w:rsid w:val="0029563A"/>
    <w:rsid w:val="00297B7F"/>
    <w:rsid w:val="002A15FB"/>
    <w:rsid w:val="002A6927"/>
    <w:rsid w:val="002B16F6"/>
    <w:rsid w:val="002B3A29"/>
    <w:rsid w:val="002B7C5D"/>
    <w:rsid w:val="002C22C2"/>
    <w:rsid w:val="002C33FA"/>
    <w:rsid w:val="002C3B4A"/>
    <w:rsid w:val="002C43C0"/>
    <w:rsid w:val="002C66EB"/>
    <w:rsid w:val="002C7A0A"/>
    <w:rsid w:val="002C7D0F"/>
    <w:rsid w:val="002D1C2D"/>
    <w:rsid w:val="002D3BCF"/>
    <w:rsid w:val="002D42E7"/>
    <w:rsid w:val="002D6576"/>
    <w:rsid w:val="002E0E1D"/>
    <w:rsid w:val="002E0EF5"/>
    <w:rsid w:val="002E2469"/>
    <w:rsid w:val="002F5697"/>
    <w:rsid w:val="003022C9"/>
    <w:rsid w:val="003030C1"/>
    <w:rsid w:val="00303EAE"/>
    <w:rsid w:val="0030408A"/>
    <w:rsid w:val="003056CC"/>
    <w:rsid w:val="00313C61"/>
    <w:rsid w:val="00314D25"/>
    <w:rsid w:val="00317A72"/>
    <w:rsid w:val="00320F25"/>
    <w:rsid w:val="00321871"/>
    <w:rsid w:val="0032439D"/>
    <w:rsid w:val="00325D72"/>
    <w:rsid w:val="00327951"/>
    <w:rsid w:val="003446F1"/>
    <w:rsid w:val="0034760E"/>
    <w:rsid w:val="0034776A"/>
    <w:rsid w:val="003545E9"/>
    <w:rsid w:val="00355425"/>
    <w:rsid w:val="0035645A"/>
    <w:rsid w:val="00357805"/>
    <w:rsid w:val="00360C2E"/>
    <w:rsid w:val="00361C74"/>
    <w:rsid w:val="00363DFC"/>
    <w:rsid w:val="00364A4F"/>
    <w:rsid w:val="00364DB5"/>
    <w:rsid w:val="00365747"/>
    <w:rsid w:val="00366365"/>
    <w:rsid w:val="00366589"/>
    <w:rsid w:val="003668B6"/>
    <w:rsid w:val="00367BB9"/>
    <w:rsid w:val="00370CD7"/>
    <w:rsid w:val="00372A5D"/>
    <w:rsid w:val="00375862"/>
    <w:rsid w:val="003768F8"/>
    <w:rsid w:val="0038751E"/>
    <w:rsid w:val="003923F8"/>
    <w:rsid w:val="00395B02"/>
    <w:rsid w:val="00396F7D"/>
    <w:rsid w:val="003A2227"/>
    <w:rsid w:val="003A2341"/>
    <w:rsid w:val="003A7320"/>
    <w:rsid w:val="003B1556"/>
    <w:rsid w:val="003C28A3"/>
    <w:rsid w:val="003C5DFD"/>
    <w:rsid w:val="003D3C92"/>
    <w:rsid w:val="003D6C4F"/>
    <w:rsid w:val="003E12AC"/>
    <w:rsid w:val="003E5B7F"/>
    <w:rsid w:val="003F1D67"/>
    <w:rsid w:val="003F2144"/>
    <w:rsid w:val="003F52C2"/>
    <w:rsid w:val="003F55D1"/>
    <w:rsid w:val="003F669B"/>
    <w:rsid w:val="003F6786"/>
    <w:rsid w:val="00400ABB"/>
    <w:rsid w:val="004022B7"/>
    <w:rsid w:val="004039E0"/>
    <w:rsid w:val="00415741"/>
    <w:rsid w:val="0041720E"/>
    <w:rsid w:val="00424BC0"/>
    <w:rsid w:val="004255AF"/>
    <w:rsid w:val="004316BC"/>
    <w:rsid w:val="004317A2"/>
    <w:rsid w:val="00431F2E"/>
    <w:rsid w:val="004413F8"/>
    <w:rsid w:val="00451AF7"/>
    <w:rsid w:val="004524BA"/>
    <w:rsid w:val="00452C31"/>
    <w:rsid w:val="00453CAF"/>
    <w:rsid w:val="004609C4"/>
    <w:rsid w:val="00461318"/>
    <w:rsid w:val="00463FAA"/>
    <w:rsid w:val="00464AA9"/>
    <w:rsid w:val="00465396"/>
    <w:rsid w:val="00465559"/>
    <w:rsid w:val="00476FD7"/>
    <w:rsid w:val="00480044"/>
    <w:rsid w:val="00480C48"/>
    <w:rsid w:val="00480D47"/>
    <w:rsid w:val="004836FE"/>
    <w:rsid w:val="00486251"/>
    <w:rsid w:val="00486A10"/>
    <w:rsid w:val="004874DE"/>
    <w:rsid w:val="004911D3"/>
    <w:rsid w:val="00495821"/>
    <w:rsid w:val="004A2C70"/>
    <w:rsid w:val="004A7318"/>
    <w:rsid w:val="004B2BD8"/>
    <w:rsid w:val="004B348A"/>
    <w:rsid w:val="004B6277"/>
    <w:rsid w:val="004C093F"/>
    <w:rsid w:val="004C171B"/>
    <w:rsid w:val="004D0EF1"/>
    <w:rsid w:val="004D4919"/>
    <w:rsid w:val="004D5C4F"/>
    <w:rsid w:val="004D6B46"/>
    <w:rsid w:val="004E28FE"/>
    <w:rsid w:val="004E3C30"/>
    <w:rsid w:val="004E572C"/>
    <w:rsid w:val="004E704C"/>
    <w:rsid w:val="004F7177"/>
    <w:rsid w:val="00502E4B"/>
    <w:rsid w:val="00503721"/>
    <w:rsid w:val="00525DA8"/>
    <w:rsid w:val="00532FB8"/>
    <w:rsid w:val="00556FF2"/>
    <w:rsid w:val="00560D71"/>
    <w:rsid w:val="00563281"/>
    <w:rsid w:val="0056657E"/>
    <w:rsid w:val="0057014C"/>
    <w:rsid w:val="00570F04"/>
    <w:rsid w:val="00571FB9"/>
    <w:rsid w:val="00573CFA"/>
    <w:rsid w:val="00575270"/>
    <w:rsid w:val="00575F6F"/>
    <w:rsid w:val="00576313"/>
    <w:rsid w:val="00583384"/>
    <w:rsid w:val="005840A0"/>
    <w:rsid w:val="00586373"/>
    <w:rsid w:val="00597230"/>
    <w:rsid w:val="005A03F4"/>
    <w:rsid w:val="005A1BD4"/>
    <w:rsid w:val="005A2A35"/>
    <w:rsid w:val="005A42BE"/>
    <w:rsid w:val="005B0FE5"/>
    <w:rsid w:val="005B5CD0"/>
    <w:rsid w:val="005B7142"/>
    <w:rsid w:val="005C34A0"/>
    <w:rsid w:val="005C4E74"/>
    <w:rsid w:val="005C7ABC"/>
    <w:rsid w:val="005D5BFF"/>
    <w:rsid w:val="005D675B"/>
    <w:rsid w:val="005E0634"/>
    <w:rsid w:val="005E44C8"/>
    <w:rsid w:val="005E4A76"/>
    <w:rsid w:val="005E65F1"/>
    <w:rsid w:val="005E78F5"/>
    <w:rsid w:val="005F278E"/>
    <w:rsid w:val="0060009D"/>
    <w:rsid w:val="00602643"/>
    <w:rsid w:val="00612D3E"/>
    <w:rsid w:val="00614CC0"/>
    <w:rsid w:val="0062667D"/>
    <w:rsid w:val="00630476"/>
    <w:rsid w:val="00632988"/>
    <w:rsid w:val="00633730"/>
    <w:rsid w:val="00634B73"/>
    <w:rsid w:val="006401B7"/>
    <w:rsid w:val="006424D6"/>
    <w:rsid w:val="00656650"/>
    <w:rsid w:val="00656AC7"/>
    <w:rsid w:val="00657D7E"/>
    <w:rsid w:val="00660472"/>
    <w:rsid w:val="00662419"/>
    <w:rsid w:val="00662F95"/>
    <w:rsid w:val="006630AA"/>
    <w:rsid w:val="00665E50"/>
    <w:rsid w:val="006661AA"/>
    <w:rsid w:val="00673E94"/>
    <w:rsid w:val="0067694D"/>
    <w:rsid w:val="00677506"/>
    <w:rsid w:val="00681111"/>
    <w:rsid w:val="00681E41"/>
    <w:rsid w:val="00682C34"/>
    <w:rsid w:val="006847A8"/>
    <w:rsid w:val="00685E5D"/>
    <w:rsid w:val="00687161"/>
    <w:rsid w:val="00690A11"/>
    <w:rsid w:val="00691BB3"/>
    <w:rsid w:val="00694D77"/>
    <w:rsid w:val="00697FD9"/>
    <w:rsid w:val="006A194C"/>
    <w:rsid w:val="006A1F5B"/>
    <w:rsid w:val="006A2965"/>
    <w:rsid w:val="006A3B4F"/>
    <w:rsid w:val="006A7ACD"/>
    <w:rsid w:val="006B05AD"/>
    <w:rsid w:val="006B097C"/>
    <w:rsid w:val="006B2394"/>
    <w:rsid w:val="006C17AB"/>
    <w:rsid w:val="006C5323"/>
    <w:rsid w:val="006C5601"/>
    <w:rsid w:val="006D4117"/>
    <w:rsid w:val="006D43E1"/>
    <w:rsid w:val="006E0352"/>
    <w:rsid w:val="006E5395"/>
    <w:rsid w:val="006F1223"/>
    <w:rsid w:val="006F1E9F"/>
    <w:rsid w:val="006F657C"/>
    <w:rsid w:val="0070121A"/>
    <w:rsid w:val="00703288"/>
    <w:rsid w:val="007038C7"/>
    <w:rsid w:val="00704F36"/>
    <w:rsid w:val="00713D97"/>
    <w:rsid w:val="00714F0E"/>
    <w:rsid w:val="00715D13"/>
    <w:rsid w:val="00722F8E"/>
    <w:rsid w:val="007277A4"/>
    <w:rsid w:val="00727C5E"/>
    <w:rsid w:val="00734E31"/>
    <w:rsid w:val="00737B1B"/>
    <w:rsid w:val="007422D7"/>
    <w:rsid w:val="00744E60"/>
    <w:rsid w:val="00745E9B"/>
    <w:rsid w:val="00746694"/>
    <w:rsid w:val="00752E35"/>
    <w:rsid w:val="00754206"/>
    <w:rsid w:val="00755EFF"/>
    <w:rsid w:val="0076059C"/>
    <w:rsid w:val="00760BDD"/>
    <w:rsid w:val="007623CB"/>
    <w:rsid w:val="00762D45"/>
    <w:rsid w:val="00765AF9"/>
    <w:rsid w:val="00765DCA"/>
    <w:rsid w:val="00767C41"/>
    <w:rsid w:val="00776BAC"/>
    <w:rsid w:val="00777E64"/>
    <w:rsid w:val="00777ED7"/>
    <w:rsid w:val="00784D2D"/>
    <w:rsid w:val="00787D16"/>
    <w:rsid w:val="00791356"/>
    <w:rsid w:val="007B0610"/>
    <w:rsid w:val="007B38A8"/>
    <w:rsid w:val="007B51A4"/>
    <w:rsid w:val="007B51CF"/>
    <w:rsid w:val="007B7F40"/>
    <w:rsid w:val="007C12A1"/>
    <w:rsid w:val="007C2631"/>
    <w:rsid w:val="007C4D72"/>
    <w:rsid w:val="007C6135"/>
    <w:rsid w:val="007C6AEF"/>
    <w:rsid w:val="007C70EC"/>
    <w:rsid w:val="007D2ECB"/>
    <w:rsid w:val="007D3CCA"/>
    <w:rsid w:val="007D517A"/>
    <w:rsid w:val="007D6860"/>
    <w:rsid w:val="007E4AF1"/>
    <w:rsid w:val="007E606A"/>
    <w:rsid w:val="007E7BED"/>
    <w:rsid w:val="007F1B9E"/>
    <w:rsid w:val="007F1D9C"/>
    <w:rsid w:val="007F383A"/>
    <w:rsid w:val="007F5AD7"/>
    <w:rsid w:val="007F6C67"/>
    <w:rsid w:val="007F7943"/>
    <w:rsid w:val="007F7B04"/>
    <w:rsid w:val="008021DD"/>
    <w:rsid w:val="0080512A"/>
    <w:rsid w:val="0080682A"/>
    <w:rsid w:val="008113F3"/>
    <w:rsid w:val="00816DFA"/>
    <w:rsid w:val="00821C9B"/>
    <w:rsid w:val="00822698"/>
    <w:rsid w:val="00824FD6"/>
    <w:rsid w:val="00825B1E"/>
    <w:rsid w:val="00827330"/>
    <w:rsid w:val="008306B0"/>
    <w:rsid w:val="00832F00"/>
    <w:rsid w:val="00832F32"/>
    <w:rsid w:val="00840166"/>
    <w:rsid w:val="00842BD8"/>
    <w:rsid w:val="00846DE0"/>
    <w:rsid w:val="008514D4"/>
    <w:rsid w:val="0085433F"/>
    <w:rsid w:val="00855177"/>
    <w:rsid w:val="008570E0"/>
    <w:rsid w:val="00860313"/>
    <w:rsid w:val="00860CA4"/>
    <w:rsid w:val="008616ED"/>
    <w:rsid w:val="008676E4"/>
    <w:rsid w:val="00867E56"/>
    <w:rsid w:val="00871980"/>
    <w:rsid w:val="00874563"/>
    <w:rsid w:val="00875013"/>
    <w:rsid w:val="00877293"/>
    <w:rsid w:val="008776A4"/>
    <w:rsid w:val="0088272E"/>
    <w:rsid w:val="00882CFD"/>
    <w:rsid w:val="00886672"/>
    <w:rsid w:val="00890A6C"/>
    <w:rsid w:val="008A148C"/>
    <w:rsid w:val="008A713D"/>
    <w:rsid w:val="008B7598"/>
    <w:rsid w:val="008B7E43"/>
    <w:rsid w:val="008C0DF2"/>
    <w:rsid w:val="008C1C60"/>
    <w:rsid w:val="008C231F"/>
    <w:rsid w:val="008C327E"/>
    <w:rsid w:val="008C3359"/>
    <w:rsid w:val="008C3E96"/>
    <w:rsid w:val="008C50A2"/>
    <w:rsid w:val="008C750F"/>
    <w:rsid w:val="008D0C9E"/>
    <w:rsid w:val="008D10C3"/>
    <w:rsid w:val="008D12D3"/>
    <w:rsid w:val="008D4674"/>
    <w:rsid w:val="008D515C"/>
    <w:rsid w:val="008E501C"/>
    <w:rsid w:val="008E5C0A"/>
    <w:rsid w:val="008E5DF8"/>
    <w:rsid w:val="008E6B21"/>
    <w:rsid w:val="008F37A1"/>
    <w:rsid w:val="008F5CC0"/>
    <w:rsid w:val="008F7D59"/>
    <w:rsid w:val="008F7D80"/>
    <w:rsid w:val="00900244"/>
    <w:rsid w:val="00903556"/>
    <w:rsid w:val="00906E25"/>
    <w:rsid w:val="00907DF0"/>
    <w:rsid w:val="00910A12"/>
    <w:rsid w:val="0091147A"/>
    <w:rsid w:val="0091170A"/>
    <w:rsid w:val="009135CA"/>
    <w:rsid w:val="009169EF"/>
    <w:rsid w:val="009172EE"/>
    <w:rsid w:val="009203F9"/>
    <w:rsid w:val="0092385E"/>
    <w:rsid w:val="00925414"/>
    <w:rsid w:val="00930B1A"/>
    <w:rsid w:val="0093162F"/>
    <w:rsid w:val="00931D5A"/>
    <w:rsid w:val="00932DB9"/>
    <w:rsid w:val="009346F0"/>
    <w:rsid w:val="00940A94"/>
    <w:rsid w:val="009435D7"/>
    <w:rsid w:val="00944C4E"/>
    <w:rsid w:val="00945857"/>
    <w:rsid w:val="00954661"/>
    <w:rsid w:val="0095561C"/>
    <w:rsid w:val="0095575C"/>
    <w:rsid w:val="00956E06"/>
    <w:rsid w:val="009618F0"/>
    <w:rsid w:val="00962C88"/>
    <w:rsid w:val="00967667"/>
    <w:rsid w:val="0097659F"/>
    <w:rsid w:val="00980913"/>
    <w:rsid w:val="00980F5D"/>
    <w:rsid w:val="009832AA"/>
    <w:rsid w:val="00986209"/>
    <w:rsid w:val="00991C3F"/>
    <w:rsid w:val="009921B2"/>
    <w:rsid w:val="00992D94"/>
    <w:rsid w:val="009A030D"/>
    <w:rsid w:val="009A3A89"/>
    <w:rsid w:val="009A580E"/>
    <w:rsid w:val="009B1268"/>
    <w:rsid w:val="009C48B7"/>
    <w:rsid w:val="009C66F0"/>
    <w:rsid w:val="009C6816"/>
    <w:rsid w:val="009C715A"/>
    <w:rsid w:val="009D0386"/>
    <w:rsid w:val="009D6399"/>
    <w:rsid w:val="009E05A4"/>
    <w:rsid w:val="009F15CB"/>
    <w:rsid w:val="009F1980"/>
    <w:rsid w:val="009F20CA"/>
    <w:rsid w:val="00A00A42"/>
    <w:rsid w:val="00A0111B"/>
    <w:rsid w:val="00A032BF"/>
    <w:rsid w:val="00A0371F"/>
    <w:rsid w:val="00A0407D"/>
    <w:rsid w:val="00A051A1"/>
    <w:rsid w:val="00A1602E"/>
    <w:rsid w:val="00A2155D"/>
    <w:rsid w:val="00A224A2"/>
    <w:rsid w:val="00A25428"/>
    <w:rsid w:val="00A313BD"/>
    <w:rsid w:val="00A31CDB"/>
    <w:rsid w:val="00A34710"/>
    <w:rsid w:val="00A35753"/>
    <w:rsid w:val="00A35F0F"/>
    <w:rsid w:val="00A370C0"/>
    <w:rsid w:val="00A4083D"/>
    <w:rsid w:val="00A42A8B"/>
    <w:rsid w:val="00A44DE9"/>
    <w:rsid w:val="00A46DCD"/>
    <w:rsid w:val="00A4775F"/>
    <w:rsid w:val="00A47895"/>
    <w:rsid w:val="00A54C74"/>
    <w:rsid w:val="00A605C4"/>
    <w:rsid w:val="00A66733"/>
    <w:rsid w:val="00A70CBD"/>
    <w:rsid w:val="00A70EF0"/>
    <w:rsid w:val="00A711FD"/>
    <w:rsid w:val="00A76466"/>
    <w:rsid w:val="00A80998"/>
    <w:rsid w:val="00A859EB"/>
    <w:rsid w:val="00A924FA"/>
    <w:rsid w:val="00A938EC"/>
    <w:rsid w:val="00A97587"/>
    <w:rsid w:val="00A97D90"/>
    <w:rsid w:val="00AA1302"/>
    <w:rsid w:val="00AA279F"/>
    <w:rsid w:val="00AA5660"/>
    <w:rsid w:val="00AB306B"/>
    <w:rsid w:val="00AB42CF"/>
    <w:rsid w:val="00AB6D3B"/>
    <w:rsid w:val="00AC14E2"/>
    <w:rsid w:val="00AC24B9"/>
    <w:rsid w:val="00AC27F4"/>
    <w:rsid w:val="00AC7BBC"/>
    <w:rsid w:val="00AD11AE"/>
    <w:rsid w:val="00AD14A4"/>
    <w:rsid w:val="00AD171B"/>
    <w:rsid w:val="00AD1E1A"/>
    <w:rsid w:val="00AD2AD2"/>
    <w:rsid w:val="00AD41C7"/>
    <w:rsid w:val="00AD581D"/>
    <w:rsid w:val="00AD60B4"/>
    <w:rsid w:val="00AD6645"/>
    <w:rsid w:val="00AD7C39"/>
    <w:rsid w:val="00AE102D"/>
    <w:rsid w:val="00AE3152"/>
    <w:rsid w:val="00AE46AB"/>
    <w:rsid w:val="00AE5675"/>
    <w:rsid w:val="00AF388D"/>
    <w:rsid w:val="00AF4EBB"/>
    <w:rsid w:val="00AF6681"/>
    <w:rsid w:val="00B05C4B"/>
    <w:rsid w:val="00B130CE"/>
    <w:rsid w:val="00B15021"/>
    <w:rsid w:val="00B17539"/>
    <w:rsid w:val="00B21E60"/>
    <w:rsid w:val="00B24766"/>
    <w:rsid w:val="00B26366"/>
    <w:rsid w:val="00B27909"/>
    <w:rsid w:val="00B304E7"/>
    <w:rsid w:val="00B34D87"/>
    <w:rsid w:val="00B35B6A"/>
    <w:rsid w:val="00B44A33"/>
    <w:rsid w:val="00B465D3"/>
    <w:rsid w:val="00B507A7"/>
    <w:rsid w:val="00B53C61"/>
    <w:rsid w:val="00B55221"/>
    <w:rsid w:val="00B55912"/>
    <w:rsid w:val="00B6119F"/>
    <w:rsid w:val="00B6434C"/>
    <w:rsid w:val="00B64DBF"/>
    <w:rsid w:val="00B67B0F"/>
    <w:rsid w:val="00B67EEB"/>
    <w:rsid w:val="00B70A68"/>
    <w:rsid w:val="00B7411A"/>
    <w:rsid w:val="00B75D20"/>
    <w:rsid w:val="00B85401"/>
    <w:rsid w:val="00B85E96"/>
    <w:rsid w:val="00B933F7"/>
    <w:rsid w:val="00B9390A"/>
    <w:rsid w:val="00B96F8C"/>
    <w:rsid w:val="00BA4F8E"/>
    <w:rsid w:val="00BA571C"/>
    <w:rsid w:val="00BA6035"/>
    <w:rsid w:val="00BA7553"/>
    <w:rsid w:val="00BB5032"/>
    <w:rsid w:val="00BC2505"/>
    <w:rsid w:val="00BC59FB"/>
    <w:rsid w:val="00BD0DD0"/>
    <w:rsid w:val="00BD1C1C"/>
    <w:rsid w:val="00BD2B17"/>
    <w:rsid w:val="00BE1198"/>
    <w:rsid w:val="00BE1246"/>
    <w:rsid w:val="00BE408D"/>
    <w:rsid w:val="00BE456B"/>
    <w:rsid w:val="00BE5835"/>
    <w:rsid w:val="00BF0634"/>
    <w:rsid w:val="00BF2139"/>
    <w:rsid w:val="00BF746B"/>
    <w:rsid w:val="00C022C3"/>
    <w:rsid w:val="00C0273E"/>
    <w:rsid w:val="00C05D14"/>
    <w:rsid w:val="00C1148B"/>
    <w:rsid w:val="00C12583"/>
    <w:rsid w:val="00C12EF1"/>
    <w:rsid w:val="00C13F37"/>
    <w:rsid w:val="00C14341"/>
    <w:rsid w:val="00C1484E"/>
    <w:rsid w:val="00C175C0"/>
    <w:rsid w:val="00C2214A"/>
    <w:rsid w:val="00C24482"/>
    <w:rsid w:val="00C2473F"/>
    <w:rsid w:val="00C2521C"/>
    <w:rsid w:val="00C2747E"/>
    <w:rsid w:val="00C35ABA"/>
    <w:rsid w:val="00C365FF"/>
    <w:rsid w:val="00C36D7D"/>
    <w:rsid w:val="00C3774B"/>
    <w:rsid w:val="00C41F5E"/>
    <w:rsid w:val="00C510A2"/>
    <w:rsid w:val="00C52FFC"/>
    <w:rsid w:val="00C55931"/>
    <w:rsid w:val="00C62296"/>
    <w:rsid w:val="00C669F6"/>
    <w:rsid w:val="00C706ED"/>
    <w:rsid w:val="00C75A82"/>
    <w:rsid w:val="00C77C63"/>
    <w:rsid w:val="00C8169D"/>
    <w:rsid w:val="00C837A3"/>
    <w:rsid w:val="00C90D19"/>
    <w:rsid w:val="00C9151E"/>
    <w:rsid w:val="00C934AC"/>
    <w:rsid w:val="00C95F4C"/>
    <w:rsid w:val="00CA141B"/>
    <w:rsid w:val="00CA2689"/>
    <w:rsid w:val="00CA5536"/>
    <w:rsid w:val="00CA7811"/>
    <w:rsid w:val="00CB07FB"/>
    <w:rsid w:val="00CB238E"/>
    <w:rsid w:val="00CB27E3"/>
    <w:rsid w:val="00CB44DD"/>
    <w:rsid w:val="00CC2074"/>
    <w:rsid w:val="00CC71C5"/>
    <w:rsid w:val="00CC763C"/>
    <w:rsid w:val="00CD1FA1"/>
    <w:rsid w:val="00CD7690"/>
    <w:rsid w:val="00CE087C"/>
    <w:rsid w:val="00CE1F6D"/>
    <w:rsid w:val="00CE2833"/>
    <w:rsid w:val="00CE3F69"/>
    <w:rsid w:val="00CE4C4C"/>
    <w:rsid w:val="00CF408C"/>
    <w:rsid w:val="00CF42F8"/>
    <w:rsid w:val="00CF4959"/>
    <w:rsid w:val="00CF6C81"/>
    <w:rsid w:val="00D007B3"/>
    <w:rsid w:val="00D109E3"/>
    <w:rsid w:val="00D10AB4"/>
    <w:rsid w:val="00D11838"/>
    <w:rsid w:val="00D140B7"/>
    <w:rsid w:val="00D176F9"/>
    <w:rsid w:val="00D209C1"/>
    <w:rsid w:val="00D209F3"/>
    <w:rsid w:val="00D20FCC"/>
    <w:rsid w:val="00D247A1"/>
    <w:rsid w:val="00D33A46"/>
    <w:rsid w:val="00D34ADF"/>
    <w:rsid w:val="00D44B98"/>
    <w:rsid w:val="00D46096"/>
    <w:rsid w:val="00D47732"/>
    <w:rsid w:val="00D51910"/>
    <w:rsid w:val="00D53DA8"/>
    <w:rsid w:val="00D61745"/>
    <w:rsid w:val="00D735B1"/>
    <w:rsid w:val="00D77CEB"/>
    <w:rsid w:val="00D80BF3"/>
    <w:rsid w:val="00D85188"/>
    <w:rsid w:val="00D85669"/>
    <w:rsid w:val="00D85BCC"/>
    <w:rsid w:val="00D91BE0"/>
    <w:rsid w:val="00D95B5E"/>
    <w:rsid w:val="00D95D88"/>
    <w:rsid w:val="00D96B4A"/>
    <w:rsid w:val="00D97456"/>
    <w:rsid w:val="00DA0688"/>
    <w:rsid w:val="00DA44B4"/>
    <w:rsid w:val="00DA699A"/>
    <w:rsid w:val="00DA6DDF"/>
    <w:rsid w:val="00DB0F54"/>
    <w:rsid w:val="00DB2480"/>
    <w:rsid w:val="00DC047B"/>
    <w:rsid w:val="00DC146D"/>
    <w:rsid w:val="00DC289D"/>
    <w:rsid w:val="00DC3C9F"/>
    <w:rsid w:val="00DC7526"/>
    <w:rsid w:val="00DD0E3B"/>
    <w:rsid w:val="00DD1A30"/>
    <w:rsid w:val="00DE1F33"/>
    <w:rsid w:val="00DE2079"/>
    <w:rsid w:val="00DE617B"/>
    <w:rsid w:val="00DE6F1F"/>
    <w:rsid w:val="00DF4E16"/>
    <w:rsid w:val="00DF6753"/>
    <w:rsid w:val="00E0277A"/>
    <w:rsid w:val="00E0664E"/>
    <w:rsid w:val="00E11C80"/>
    <w:rsid w:val="00E14D11"/>
    <w:rsid w:val="00E1795B"/>
    <w:rsid w:val="00E224D5"/>
    <w:rsid w:val="00E25A02"/>
    <w:rsid w:val="00E33700"/>
    <w:rsid w:val="00E406D8"/>
    <w:rsid w:val="00E4351B"/>
    <w:rsid w:val="00E471F8"/>
    <w:rsid w:val="00E50789"/>
    <w:rsid w:val="00E51134"/>
    <w:rsid w:val="00E51F62"/>
    <w:rsid w:val="00E527E8"/>
    <w:rsid w:val="00E57622"/>
    <w:rsid w:val="00E7253E"/>
    <w:rsid w:val="00E740BE"/>
    <w:rsid w:val="00E80C7E"/>
    <w:rsid w:val="00E829A9"/>
    <w:rsid w:val="00E83D31"/>
    <w:rsid w:val="00E85F95"/>
    <w:rsid w:val="00E965BE"/>
    <w:rsid w:val="00E97871"/>
    <w:rsid w:val="00EA0DD3"/>
    <w:rsid w:val="00EA4A70"/>
    <w:rsid w:val="00EB010C"/>
    <w:rsid w:val="00EB6837"/>
    <w:rsid w:val="00EC5DE0"/>
    <w:rsid w:val="00EC5E2F"/>
    <w:rsid w:val="00ED024F"/>
    <w:rsid w:val="00EE0CCD"/>
    <w:rsid w:val="00EF10E3"/>
    <w:rsid w:val="00EF322B"/>
    <w:rsid w:val="00EF6806"/>
    <w:rsid w:val="00F00071"/>
    <w:rsid w:val="00F00DAE"/>
    <w:rsid w:val="00F016E8"/>
    <w:rsid w:val="00F07AD9"/>
    <w:rsid w:val="00F12735"/>
    <w:rsid w:val="00F13EDC"/>
    <w:rsid w:val="00F2239F"/>
    <w:rsid w:val="00F26DFE"/>
    <w:rsid w:val="00F2723E"/>
    <w:rsid w:val="00F34A91"/>
    <w:rsid w:val="00F37CBE"/>
    <w:rsid w:val="00F40274"/>
    <w:rsid w:val="00F423C9"/>
    <w:rsid w:val="00F46D2E"/>
    <w:rsid w:val="00F47436"/>
    <w:rsid w:val="00F500DF"/>
    <w:rsid w:val="00F5134B"/>
    <w:rsid w:val="00F56030"/>
    <w:rsid w:val="00F61C01"/>
    <w:rsid w:val="00F679EE"/>
    <w:rsid w:val="00F67BCE"/>
    <w:rsid w:val="00F7048B"/>
    <w:rsid w:val="00F7263D"/>
    <w:rsid w:val="00F747B2"/>
    <w:rsid w:val="00F83BB0"/>
    <w:rsid w:val="00F8742D"/>
    <w:rsid w:val="00F87D61"/>
    <w:rsid w:val="00F94550"/>
    <w:rsid w:val="00FA1BF0"/>
    <w:rsid w:val="00FA5BAA"/>
    <w:rsid w:val="00FA681D"/>
    <w:rsid w:val="00FB3FF6"/>
    <w:rsid w:val="00FB581B"/>
    <w:rsid w:val="00FD05AF"/>
    <w:rsid w:val="00FD2853"/>
    <w:rsid w:val="00FE2E20"/>
    <w:rsid w:val="00FE4F75"/>
    <w:rsid w:val="00FE5180"/>
    <w:rsid w:val="00FE6F5E"/>
    <w:rsid w:val="00FF2852"/>
    <w:rsid w:val="00FF2E84"/>
    <w:rsid w:val="00FF3AC3"/>
    <w:rsid w:val="00FF4A51"/>
    <w:rsid w:val="00FF4D0E"/>
    <w:rsid w:val="00FF7E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08"/>
    <w:pPr>
      <w:spacing w:after="200" w:line="276" w:lineRule="auto"/>
    </w:pPr>
    <w:rPr>
      <w:rFonts w:eastAsia="Batang"/>
      <w:lang w:eastAsia="en-US"/>
    </w:rPr>
  </w:style>
  <w:style w:type="paragraph" w:styleId="Heading1">
    <w:name w:val="heading 1"/>
    <w:basedOn w:val="Normal"/>
    <w:next w:val="Normal"/>
    <w:link w:val="Heading1Char"/>
    <w:uiPriority w:val="99"/>
    <w:qFormat/>
    <w:rsid w:val="000B4017"/>
    <w:pPr>
      <w:keepNext/>
      <w:numPr>
        <w:numId w:val="15"/>
      </w:numPr>
      <w:tabs>
        <w:tab w:val="clear" w:pos="1032"/>
        <w:tab w:val="num" w:pos="-1819"/>
      </w:tabs>
      <w:spacing w:before="240" w:after="120" w:line="240" w:lineRule="auto"/>
      <w:ind w:left="0" w:firstLine="0"/>
      <w:jc w:val="center"/>
      <w:outlineLvl w:val="0"/>
    </w:pPr>
    <w:rPr>
      <w:rFonts w:ascii="Arial" w:hAnsi="Arial"/>
      <w:b/>
      <w:kern w:val="28"/>
      <w:sz w:val="28"/>
      <w:szCs w:val="20"/>
    </w:rPr>
  </w:style>
  <w:style w:type="paragraph" w:styleId="Heading2">
    <w:name w:val="heading 2"/>
    <w:basedOn w:val="Normal"/>
    <w:next w:val="BodyText"/>
    <w:link w:val="Heading2Char"/>
    <w:uiPriority w:val="99"/>
    <w:qFormat/>
    <w:rsid w:val="00136C1B"/>
    <w:pPr>
      <w:keepNext/>
      <w:numPr>
        <w:ilvl w:val="1"/>
        <w:numId w:val="14"/>
      </w:numPr>
      <w:tabs>
        <w:tab w:val="num" w:pos="-1675"/>
      </w:tabs>
      <w:spacing w:before="240" w:after="120" w:line="240" w:lineRule="auto"/>
      <w:ind w:left="0" w:firstLine="0"/>
      <w:jc w:val="center"/>
      <w:outlineLvl w:val="1"/>
    </w:pPr>
    <w:rPr>
      <w:rFonts w:ascii="Arial" w:hAnsi="Arial"/>
      <w:b/>
      <w:i/>
      <w:sz w:val="24"/>
      <w:szCs w:val="20"/>
    </w:rPr>
  </w:style>
  <w:style w:type="paragraph" w:styleId="Heading3">
    <w:name w:val="heading 3"/>
    <w:basedOn w:val="Normal"/>
    <w:next w:val="BodyText"/>
    <w:link w:val="Heading3Char"/>
    <w:uiPriority w:val="99"/>
    <w:qFormat/>
    <w:rsid w:val="000B4017"/>
    <w:pPr>
      <w:keepNext/>
      <w:numPr>
        <w:ilvl w:val="2"/>
        <w:numId w:val="15"/>
      </w:numPr>
      <w:tabs>
        <w:tab w:val="clear" w:pos="360"/>
        <w:tab w:val="num" w:pos="880"/>
      </w:tabs>
      <w:spacing w:before="120" w:after="60" w:line="240" w:lineRule="auto"/>
      <w:ind w:left="880" w:hanging="720"/>
      <w:jc w:val="both"/>
      <w:outlineLvl w:val="2"/>
    </w:pPr>
    <w:rPr>
      <w:rFonts w:ascii="Times New Roman" w:eastAsia="Times New Roman" w:hAnsi="Times New Roman"/>
      <w:b/>
      <w:sz w:val="24"/>
      <w:szCs w:val="24"/>
      <w:lang w:eastAsia="ru-RU"/>
    </w:rPr>
  </w:style>
  <w:style w:type="paragraph" w:styleId="Heading4">
    <w:name w:val="heading 4"/>
    <w:basedOn w:val="Normal"/>
    <w:next w:val="Normal"/>
    <w:link w:val="Heading4Char"/>
    <w:uiPriority w:val="99"/>
    <w:qFormat/>
    <w:rsid w:val="000B4017"/>
    <w:pPr>
      <w:keepNext/>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017"/>
    <w:rPr>
      <w:rFonts w:ascii="Arial" w:eastAsia="Batang" w:hAnsi="Arial"/>
      <w:b/>
      <w:kern w:val="28"/>
      <w:sz w:val="28"/>
      <w:szCs w:val="20"/>
      <w:lang w:eastAsia="en-US"/>
    </w:rPr>
  </w:style>
  <w:style w:type="character" w:customStyle="1" w:styleId="Heading2Char">
    <w:name w:val="Heading 2 Char"/>
    <w:basedOn w:val="DefaultParagraphFont"/>
    <w:link w:val="Heading2"/>
    <w:uiPriority w:val="99"/>
    <w:locked/>
    <w:rsid w:val="00136C1B"/>
    <w:rPr>
      <w:rFonts w:ascii="Arial" w:eastAsia="Batang" w:hAnsi="Arial" w:cs="Times New Roman"/>
      <w:b/>
      <w:i/>
      <w:sz w:val="24"/>
      <w:lang w:val="ru-RU" w:eastAsia="en-US" w:bidi="ar-SA"/>
    </w:rPr>
  </w:style>
  <w:style w:type="character" w:customStyle="1" w:styleId="Heading3Char">
    <w:name w:val="Heading 3 Char"/>
    <w:basedOn w:val="DefaultParagraphFont"/>
    <w:link w:val="Heading3"/>
    <w:uiPriority w:val="99"/>
    <w:locked/>
    <w:rsid w:val="000B4017"/>
    <w:rPr>
      <w:rFonts w:ascii="Times New Roman" w:eastAsia="Times New Roman" w:hAnsi="Times New Roman"/>
      <w:b/>
      <w:sz w:val="24"/>
      <w:szCs w:val="24"/>
    </w:rPr>
  </w:style>
  <w:style w:type="character" w:customStyle="1" w:styleId="Heading4Char">
    <w:name w:val="Heading 4 Char"/>
    <w:basedOn w:val="DefaultParagraphFont"/>
    <w:link w:val="Heading4"/>
    <w:uiPriority w:val="99"/>
    <w:locked/>
    <w:rsid w:val="000B4017"/>
    <w:rPr>
      <w:rFonts w:ascii="Calibri" w:hAnsi="Calibri" w:cs="Times New Roman"/>
      <w:b/>
      <w:bCs/>
      <w:sz w:val="28"/>
      <w:szCs w:val="28"/>
    </w:rPr>
  </w:style>
  <w:style w:type="paragraph" w:customStyle="1" w:styleId="1">
    <w:name w:val="Абзац списка1"/>
    <w:basedOn w:val="Normal"/>
    <w:uiPriority w:val="99"/>
    <w:rsid w:val="000B4017"/>
    <w:pPr>
      <w:ind w:left="720"/>
      <w:contextualSpacing/>
    </w:pPr>
    <w:rPr>
      <w:rFonts w:eastAsia="Calibri"/>
    </w:rPr>
  </w:style>
  <w:style w:type="paragraph" w:styleId="BodyText">
    <w:name w:val="Body Text"/>
    <w:basedOn w:val="Normal"/>
    <w:link w:val="BodyTextChar"/>
    <w:uiPriority w:val="99"/>
    <w:rsid w:val="000B4017"/>
    <w:pPr>
      <w:widowControl w:val="0"/>
      <w:suppressAutoHyphens/>
      <w:spacing w:before="120" w:after="0" w:line="240" w:lineRule="auto"/>
      <w:ind w:firstLine="709"/>
      <w:jc w:val="both"/>
    </w:pPr>
    <w:rPr>
      <w:rFonts w:ascii="Times New Roman" w:hAnsi="Times New Roman" w:cs="Tahoma"/>
      <w:color w:val="000000"/>
      <w:kern w:val="1"/>
      <w:sz w:val="24"/>
      <w:szCs w:val="24"/>
      <w:lang w:val="en-US" w:eastAsia="hi-IN" w:bidi="hi-IN"/>
    </w:rPr>
  </w:style>
  <w:style w:type="character" w:customStyle="1" w:styleId="BodyTextChar">
    <w:name w:val="Body Text Char"/>
    <w:basedOn w:val="DefaultParagraphFont"/>
    <w:link w:val="BodyText"/>
    <w:uiPriority w:val="99"/>
    <w:locked/>
    <w:rsid w:val="000B4017"/>
    <w:rPr>
      <w:rFonts w:ascii="Times New Roman" w:eastAsia="Batang" w:hAnsi="Times New Roman" w:cs="Tahoma"/>
      <w:color w:val="000000"/>
      <w:kern w:val="1"/>
      <w:sz w:val="24"/>
      <w:szCs w:val="24"/>
      <w:lang w:val="en-US" w:eastAsia="hi-IN" w:bidi="hi-IN"/>
    </w:rPr>
  </w:style>
  <w:style w:type="paragraph" w:customStyle="1" w:styleId="21">
    <w:name w:val="Основной текст 21"/>
    <w:basedOn w:val="Normal"/>
    <w:uiPriority w:val="99"/>
    <w:rsid w:val="000B4017"/>
    <w:pPr>
      <w:widowControl w:val="0"/>
      <w:suppressAutoHyphens/>
      <w:spacing w:after="120" w:line="480" w:lineRule="auto"/>
    </w:pPr>
    <w:rPr>
      <w:rFonts w:ascii="Times New Roman" w:eastAsia="Calibri" w:hAnsi="Times New Roman" w:cs="Tahoma"/>
      <w:color w:val="000000"/>
      <w:kern w:val="1"/>
      <w:sz w:val="24"/>
      <w:szCs w:val="24"/>
      <w:lang w:val="en-US" w:eastAsia="hi-IN" w:bidi="hi-IN"/>
    </w:rPr>
  </w:style>
  <w:style w:type="table" w:styleId="TableGrid">
    <w:name w:val="Table Grid"/>
    <w:basedOn w:val="TableNormal"/>
    <w:uiPriority w:val="99"/>
    <w:rsid w:val="000B4017"/>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Знак Знак"/>
    <w:uiPriority w:val="99"/>
    <w:locked/>
    <w:rsid w:val="000B4017"/>
    <w:rPr>
      <w:sz w:val="20"/>
      <w:shd w:val="clear" w:color="auto" w:fill="FFFFFF"/>
    </w:rPr>
  </w:style>
  <w:style w:type="character" w:customStyle="1" w:styleId="4">
    <w:name w:val="Заголовок №4_"/>
    <w:link w:val="41"/>
    <w:uiPriority w:val="99"/>
    <w:locked/>
    <w:rsid w:val="000B4017"/>
    <w:rPr>
      <w:b/>
      <w:sz w:val="26"/>
      <w:shd w:val="clear" w:color="auto" w:fill="FFFFFF"/>
    </w:rPr>
  </w:style>
  <w:style w:type="paragraph" w:customStyle="1" w:styleId="41">
    <w:name w:val="Заголовок №41"/>
    <w:basedOn w:val="Normal"/>
    <w:link w:val="4"/>
    <w:uiPriority w:val="99"/>
    <w:rsid w:val="000B4017"/>
    <w:pPr>
      <w:widowControl w:val="0"/>
      <w:shd w:val="clear" w:color="auto" w:fill="FFFFFF"/>
      <w:spacing w:before="300" w:after="180" w:line="326" w:lineRule="exact"/>
      <w:jc w:val="center"/>
      <w:outlineLvl w:val="3"/>
    </w:pPr>
    <w:rPr>
      <w:rFonts w:eastAsia="Calibri"/>
      <w:b/>
      <w:sz w:val="26"/>
      <w:szCs w:val="20"/>
      <w:shd w:val="clear" w:color="auto" w:fill="FFFFFF"/>
      <w:lang w:eastAsia="ja-JP"/>
    </w:rPr>
  </w:style>
  <w:style w:type="paragraph" w:styleId="NormalWeb">
    <w:name w:val="Normal (Web)"/>
    <w:basedOn w:val="Normal"/>
    <w:uiPriority w:val="99"/>
    <w:rsid w:val="000B4017"/>
    <w:pPr>
      <w:spacing w:before="100" w:beforeAutospacing="1" w:after="100" w:afterAutospacing="1" w:line="240" w:lineRule="auto"/>
    </w:pPr>
    <w:rPr>
      <w:rFonts w:ascii="Times New Roman" w:hAnsi="Times New Roman"/>
      <w:sz w:val="24"/>
      <w:szCs w:val="24"/>
      <w:lang w:eastAsia="ko-KR"/>
    </w:rPr>
  </w:style>
  <w:style w:type="character" w:customStyle="1" w:styleId="apple-converted-space">
    <w:name w:val="apple-converted-space"/>
    <w:uiPriority w:val="99"/>
    <w:rsid w:val="000B4017"/>
  </w:style>
  <w:style w:type="character" w:styleId="Hyperlink">
    <w:name w:val="Hyperlink"/>
    <w:basedOn w:val="DefaultParagraphFont"/>
    <w:uiPriority w:val="99"/>
    <w:rsid w:val="000B4017"/>
    <w:rPr>
      <w:rFonts w:cs="Times New Roman"/>
      <w:color w:val="0000FF"/>
      <w:u w:val="single"/>
    </w:rPr>
  </w:style>
  <w:style w:type="character" w:styleId="Strong">
    <w:name w:val="Strong"/>
    <w:basedOn w:val="DefaultParagraphFont"/>
    <w:uiPriority w:val="99"/>
    <w:qFormat/>
    <w:rsid w:val="000B4017"/>
    <w:rPr>
      <w:rFonts w:cs="Times New Roman"/>
      <w:b/>
    </w:rPr>
  </w:style>
  <w:style w:type="paragraph" w:customStyle="1" w:styleId="ListParagraph1">
    <w:name w:val="List Paragraph1"/>
    <w:basedOn w:val="Normal"/>
    <w:uiPriority w:val="99"/>
    <w:rsid w:val="000B4017"/>
    <w:pPr>
      <w:ind w:left="720"/>
      <w:contextualSpacing/>
    </w:pPr>
    <w:rPr>
      <w:rFonts w:eastAsia="Calibri"/>
    </w:rPr>
  </w:style>
  <w:style w:type="paragraph" w:customStyle="1" w:styleId="10">
    <w:name w:val="Без интервала1"/>
    <w:link w:val="NoSpacingChar"/>
    <w:uiPriority w:val="99"/>
    <w:rsid w:val="000B4017"/>
    <w:rPr>
      <w:rFonts w:eastAsia="Times New Roman"/>
      <w:lang w:eastAsia="en-US"/>
    </w:rPr>
  </w:style>
  <w:style w:type="character" w:customStyle="1" w:styleId="NoSpacingChar">
    <w:name w:val="No Spacing Char"/>
    <w:link w:val="10"/>
    <w:uiPriority w:val="99"/>
    <w:locked/>
    <w:rsid w:val="000B4017"/>
    <w:rPr>
      <w:rFonts w:eastAsia="Times New Roman"/>
      <w:sz w:val="22"/>
      <w:lang w:val="ru-RU" w:eastAsia="en-US"/>
    </w:rPr>
  </w:style>
  <w:style w:type="paragraph" w:styleId="BalloonText">
    <w:name w:val="Balloon Text"/>
    <w:basedOn w:val="Normal"/>
    <w:link w:val="BalloonTextChar"/>
    <w:uiPriority w:val="99"/>
    <w:semiHidden/>
    <w:rsid w:val="000B40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B4017"/>
    <w:rPr>
      <w:rFonts w:ascii="Tahoma" w:eastAsia="Batang" w:hAnsi="Tahoma" w:cs="Times New Roman"/>
      <w:sz w:val="16"/>
      <w:szCs w:val="16"/>
    </w:rPr>
  </w:style>
  <w:style w:type="paragraph" w:styleId="Header">
    <w:name w:val="header"/>
    <w:basedOn w:val="Normal"/>
    <w:link w:val="HeaderChar"/>
    <w:uiPriority w:val="99"/>
    <w:semiHidden/>
    <w:rsid w:val="000B4017"/>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0B4017"/>
    <w:rPr>
      <w:rFonts w:ascii="Calibri" w:eastAsia="Batang" w:hAnsi="Calibri" w:cs="Times New Roman"/>
      <w:sz w:val="20"/>
      <w:szCs w:val="20"/>
    </w:rPr>
  </w:style>
  <w:style w:type="paragraph" w:styleId="Footer">
    <w:name w:val="footer"/>
    <w:basedOn w:val="Normal"/>
    <w:link w:val="FooterChar"/>
    <w:uiPriority w:val="99"/>
    <w:rsid w:val="000B4017"/>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0B4017"/>
    <w:rPr>
      <w:rFonts w:ascii="Calibri" w:eastAsia="Batang" w:hAnsi="Calibri" w:cs="Times New Roman"/>
      <w:sz w:val="20"/>
      <w:szCs w:val="20"/>
    </w:rPr>
  </w:style>
  <w:style w:type="paragraph" w:styleId="ListParagraph">
    <w:name w:val="List Paragraph"/>
    <w:basedOn w:val="Normal"/>
    <w:uiPriority w:val="99"/>
    <w:qFormat/>
    <w:rsid w:val="000B4017"/>
    <w:pPr>
      <w:ind w:left="720"/>
      <w:contextualSpacing/>
    </w:pPr>
    <w:rPr>
      <w:rFonts w:eastAsia="Times New Roman"/>
    </w:rPr>
  </w:style>
  <w:style w:type="character" w:styleId="CommentReference">
    <w:name w:val="annotation reference"/>
    <w:basedOn w:val="DefaultParagraphFont"/>
    <w:uiPriority w:val="99"/>
    <w:rsid w:val="000B4017"/>
    <w:rPr>
      <w:rFonts w:cs="Times New Roman"/>
      <w:sz w:val="16"/>
    </w:rPr>
  </w:style>
  <w:style w:type="paragraph" w:styleId="CommentText">
    <w:name w:val="annotation text"/>
    <w:basedOn w:val="Normal"/>
    <w:link w:val="CommentTextChar"/>
    <w:uiPriority w:val="99"/>
    <w:rsid w:val="000B4017"/>
    <w:rPr>
      <w:sz w:val="20"/>
      <w:szCs w:val="20"/>
    </w:rPr>
  </w:style>
  <w:style w:type="character" w:customStyle="1" w:styleId="CommentTextChar">
    <w:name w:val="Comment Text Char"/>
    <w:basedOn w:val="DefaultParagraphFont"/>
    <w:link w:val="CommentText"/>
    <w:uiPriority w:val="99"/>
    <w:locked/>
    <w:rsid w:val="000B4017"/>
    <w:rPr>
      <w:rFonts w:ascii="Calibri" w:eastAsia="Batang" w:hAnsi="Calibri" w:cs="Times New Roman"/>
      <w:sz w:val="20"/>
      <w:szCs w:val="20"/>
    </w:rPr>
  </w:style>
  <w:style w:type="paragraph" w:styleId="CommentSubject">
    <w:name w:val="annotation subject"/>
    <w:basedOn w:val="CommentText"/>
    <w:next w:val="CommentText"/>
    <w:link w:val="CommentSubjectChar"/>
    <w:uiPriority w:val="99"/>
    <w:rsid w:val="000B4017"/>
    <w:rPr>
      <w:b/>
      <w:bCs/>
    </w:rPr>
  </w:style>
  <w:style w:type="character" w:customStyle="1" w:styleId="CommentSubjectChar">
    <w:name w:val="Comment Subject Char"/>
    <w:basedOn w:val="CommentTextChar"/>
    <w:link w:val="CommentSubject"/>
    <w:uiPriority w:val="99"/>
    <w:locked/>
    <w:rsid w:val="000B4017"/>
    <w:rPr>
      <w:b/>
      <w:bCs/>
    </w:rPr>
  </w:style>
  <w:style w:type="paragraph" w:styleId="Revision">
    <w:name w:val="Revision"/>
    <w:hidden/>
    <w:uiPriority w:val="99"/>
    <w:semiHidden/>
    <w:rsid w:val="000B4017"/>
    <w:rPr>
      <w:rFonts w:eastAsia="Batang"/>
      <w:lang w:eastAsia="en-US"/>
    </w:rPr>
  </w:style>
  <w:style w:type="paragraph" w:customStyle="1" w:styleId="Default">
    <w:name w:val="Default"/>
    <w:uiPriority w:val="99"/>
    <w:rsid w:val="000B4017"/>
    <w:pPr>
      <w:autoSpaceDE w:val="0"/>
      <w:autoSpaceDN w:val="0"/>
      <w:adjustRightInd w:val="0"/>
    </w:pPr>
    <w:rPr>
      <w:rFonts w:ascii="Cambria" w:hAnsi="Cambria" w:cs="Cambria"/>
      <w:color w:val="000000"/>
      <w:sz w:val="24"/>
      <w:szCs w:val="24"/>
    </w:rPr>
  </w:style>
  <w:style w:type="paragraph" w:customStyle="1" w:styleId="ConsPlusNormal">
    <w:name w:val="ConsPlusNormal"/>
    <w:uiPriority w:val="99"/>
    <w:rsid w:val="000B4017"/>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0B401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TitleChar">
    <w:name w:val="Title Char"/>
    <w:basedOn w:val="DefaultParagraphFont"/>
    <w:link w:val="Title"/>
    <w:uiPriority w:val="99"/>
    <w:locked/>
    <w:rsid w:val="000B4017"/>
    <w:rPr>
      <w:rFonts w:ascii="Arial" w:hAnsi="Arial" w:cs="Arial"/>
      <w:b/>
      <w:bCs/>
      <w:kern w:val="28"/>
      <w:sz w:val="32"/>
      <w:szCs w:val="32"/>
      <w:lang w:eastAsia="ru-RU"/>
    </w:rPr>
  </w:style>
  <w:style w:type="paragraph" w:styleId="PlainText">
    <w:name w:val="Plain Text"/>
    <w:basedOn w:val="Normal"/>
    <w:link w:val="PlainTextChar"/>
    <w:uiPriority w:val="99"/>
    <w:rsid w:val="000B4017"/>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locked/>
    <w:rsid w:val="000B4017"/>
    <w:rPr>
      <w:rFonts w:ascii="Consolas" w:hAnsi="Consolas" w:cs="Times New Roman"/>
      <w:sz w:val="21"/>
      <w:szCs w:val="21"/>
    </w:rPr>
  </w:style>
  <w:style w:type="paragraph" w:styleId="ListBullet">
    <w:name w:val="List Bullet"/>
    <w:basedOn w:val="Normal"/>
    <w:uiPriority w:val="99"/>
    <w:rsid w:val="000B4017"/>
    <w:pPr>
      <w:numPr>
        <w:numId w:val="14"/>
      </w:numPr>
      <w:tabs>
        <w:tab w:val="clear" w:pos="360"/>
        <w:tab w:val="num" w:pos="-1819"/>
      </w:tabs>
      <w:spacing w:after="0" w:line="240" w:lineRule="auto"/>
      <w:ind w:left="-1819" w:hanging="432"/>
    </w:pPr>
    <w:rPr>
      <w:rFonts w:ascii="Times New Roman" w:hAnsi="Times New Roman"/>
      <w:sz w:val="24"/>
    </w:rPr>
  </w:style>
  <w:style w:type="paragraph" w:styleId="BodyTextFirstIndent">
    <w:name w:val="Body Text First Indent"/>
    <w:basedOn w:val="BodyText"/>
    <w:link w:val="BodyTextFirstIndentChar"/>
    <w:uiPriority w:val="99"/>
    <w:rsid w:val="000B4017"/>
    <w:pPr>
      <w:widowControl/>
      <w:suppressAutoHyphens w:val="0"/>
      <w:spacing w:before="0" w:after="120" w:line="276" w:lineRule="auto"/>
      <w:ind w:firstLine="210"/>
      <w:jc w:val="left"/>
    </w:pPr>
    <w:rPr>
      <w:rFonts w:ascii="Calibri" w:hAnsi="Calibri" w:cs="Times New Roman"/>
      <w:color w:val="auto"/>
      <w:kern w:val="0"/>
      <w:sz w:val="22"/>
      <w:szCs w:val="22"/>
      <w:lang w:val="ru-RU" w:eastAsia="en-US" w:bidi="ar-SA"/>
    </w:rPr>
  </w:style>
  <w:style w:type="character" w:customStyle="1" w:styleId="BodyTextFirstIndentChar">
    <w:name w:val="Body Text First Indent Char"/>
    <w:basedOn w:val="BodyTextChar"/>
    <w:link w:val="BodyTextFirstIndent"/>
    <w:uiPriority w:val="99"/>
    <w:locked/>
    <w:rsid w:val="000B4017"/>
    <w:rPr>
      <w:rFonts w:ascii="Calibri" w:hAnsi="Calibri" w:cs="Times New Roman"/>
    </w:rPr>
  </w:style>
  <w:style w:type="paragraph" w:customStyle="1" w:styleId="a0">
    <w:name w:val="Таблица"/>
    <w:basedOn w:val="Normal"/>
    <w:uiPriority w:val="99"/>
    <w:rsid w:val="000B4017"/>
    <w:pPr>
      <w:widowControl w:val="0"/>
      <w:spacing w:after="0" w:line="240" w:lineRule="auto"/>
    </w:pPr>
    <w:rPr>
      <w:rFonts w:ascii="Times New Roman" w:hAnsi="Times New Roman"/>
    </w:rPr>
  </w:style>
  <w:style w:type="paragraph" w:styleId="TOC1">
    <w:name w:val="toc 1"/>
    <w:basedOn w:val="Normal"/>
    <w:next w:val="Normal"/>
    <w:autoRedefine/>
    <w:uiPriority w:val="99"/>
    <w:semiHidden/>
    <w:rsid w:val="000B4017"/>
  </w:style>
  <w:style w:type="paragraph" w:styleId="TOC2">
    <w:name w:val="toc 2"/>
    <w:basedOn w:val="Normal"/>
    <w:next w:val="Normal"/>
    <w:autoRedefine/>
    <w:uiPriority w:val="99"/>
    <w:semiHidden/>
    <w:rsid w:val="000B4017"/>
    <w:pPr>
      <w:ind w:left="220"/>
    </w:pPr>
  </w:style>
  <w:style w:type="paragraph" w:styleId="TOC3">
    <w:name w:val="toc 3"/>
    <w:basedOn w:val="Normal"/>
    <w:next w:val="Normal"/>
    <w:autoRedefine/>
    <w:uiPriority w:val="99"/>
    <w:semiHidden/>
    <w:rsid w:val="000B4017"/>
    <w:pPr>
      <w:ind w:left="440"/>
    </w:pPr>
  </w:style>
  <w:style w:type="character" w:customStyle="1" w:styleId="st1">
    <w:name w:val="st1"/>
    <w:basedOn w:val="DefaultParagraphFont"/>
    <w:uiPriority w:val="99"/>
    <w:rsid w:val="007B7F40"/>
    <w:rPr>
      <w:rFonts w:cs="Times New Roman"/>
    </w:rPr>
  </w:style>
  <w:style w:type="paragraph" w:styleId="TOC4">
    <w:name w:val="toc 4"/>
    <w:basedOn w:val="Normal"/>
    <w:next w:val="Normal"/>
    <w:autoRedefine/>
    <w:uiPriority w:val="99"/>
    <w:semiHidden/>
    <w:locked/>
    <w:rsid w:val="00C510A2"/>
    <w:pPr>
      <w:spacing w:after="0" w:line="240" w:lineRule="auto"/>
      <w:ind w:left="720"/>
    </w:pPr>
    <w:rPr>
      <w:rFonts w:ascii="Times New Roman" w:eastAsia="Calibri" w:hAnsi="Times New Roman"/>
      <w:sz w:val="24"/>
      <w:szCs w:val="24"/>
      <w:lang w:eastAsia="ru-RU"/>
    </w:rPr>
  </w:style>
  <w:style w:type="paragraph" w:styleId="TOC5">
    <w:name w:val="toc 5"/>
    <w:basedOn w:val="Normal"/>
    <w:next w:val="Normal"/>
    <w:autoRedefine/>
    <w:uiPriority w:val="99"/>
    <w:semiHidden/>
    <w:locked/>
    <w:rsid w:val="00C510A2"/>
    <w:pPr>
      <w:spacing w:after="0" w:line="240" w:lineRule="auto"/>
      <w:ind w:left="960"/>
    </w:pPr>
    <w:rPr>
      <w:rFonts w:ascii="Times New Roman" w:eastAsia="Calibri" w:hAnsi="Times New Roman"/>
      <w:sz w:val="24"/>
      <w:szCs w:val="24"/>
      <w:lang w:eastAsia="ru-RU"/>
    </w:rPr>
  </w:style>
  <w:style w:type="paragraph" w:styleId="TOC6">
    <w:name w:val="toc 6"/>
    <w:basedOn w:val="Normal"/>
    <w:next w:val="Normal"/>
    <w:autoRedefine/>
    <w:uiPriority w:val="99"/>
    <w:semiHidden/>
    <w:locked/>
    <w:rsid w:val="00C510A2"/>
    <w:pPr>
      <w:spacing w:after="0" w:line="240" w:lineRule="auto"/>
      <w:ind w:left="1200"/>
    </w:pPr>
    <w:rPr>
      <w:rFonts w:ascii="Times New Roman" w:eastAsia="Calibri" w:hAnsi="Times New Roman"/>
      <w:sz w:val="24"/>
      <w:szCs w:val="24"/>
      <w:lang w:eastAsia="ru-RU"/>
    </w:rPr>
  </w:style>
  <w:style w:type="paragraph" w:styleId="TOC7">
    <w:name w:val="toc 7"/>
    <w:basedOn w:val="Normal"/>
    <w:next w:val="Normal"/>
    <w:autoRedefine/>
    <w:uiPriority w:val="99"/>
    <w:semiHidden/>
    <w:locked/>
    <w:rsid w:val="00C510A2"/>
    <w:pPr>
      <w:spacing w:after="0" w:line="240" w:lineRule="auto"/>
      <w:ind w:left="1440"/>
    </w:pPr>
    <w:rPr>
      <w:rFonts w:ascii="Times New Roman" w:eastAsia="Calibri" w:hAnsi="Times New Roman"/>
      <w:sz w:val="24"/>
      <w:szCs w:val="24"/>
      <w:lang w:eastAsia="ru-RU"/>
    </w:rPr>
  </w:style>
  <w:style w:type="paragraph" w:styleId="TOC8">
    <w:name w:val="toc 8"/>
    <w:basedOn w:val="Normal"/>
    <w:next w:val="Normal"/>
    <w:autoRedefine/>
    <w:uiPriority w:val="99"/>
    <w:semiHidden/>
    <w:locked/>
    <w:rsid w:val="00C510A2"/>
    <w:pPr>
      <w:spacing w:after="0" w:line="240" w:lineRule="auto"/>
      <w:ind w:left="1680"/>
    </w:pPr>
    <w:rPr>
      <w:rFonts w:ascii="Times New Roman" w:eastAsia="Calibri" w:hAnsi="Times New Roman"/>
      <w:sz w:val="24"/>
      <w:szCs w:val="24"/>
      <w:lang w:eastAsia="ru-RU"/>
    </w:rPr>
  </w:style>
  <w:style w:type="paragraph" w:styleId="TOC9">
    <w:name w:val="toc 9"/>
    <w:basedOn w:val="Normal"/>
    <w:next w:val="Normal"/>
    <w:autoRedefine/>
    <w:uiPriority w:val="99"/>
    <w:semiHidden/>
    <w:locked/>
    <w:rsid w:val="00C510A2"/>
    <w:pPr>
      <w:spacing w:after="0" w:line="240" w:lineRule="auto"/>
      <w:ind w:left="1920"/>
    </w:pPr>
    <w:rPr>
      <w:rFonts w:ascii="Times New Roman" w:eastAsia="Calibri" w:hAnsi="Times New Roman"/>
      <w:sz w:val="24"/>
      <w:szCs w:val="24"/>
      <w:lang w:eastAsia="ru-RU"/>
    </w:rPr>
  </w:style>
  <w:style w:type="paragraph" w:styleId="List2">
    <w:name w:val="List 2"/>
    <w:basedOn w:val="Normal"/>
    <w:uiPriority w:val="99"/>
    <w:rsid w:val="00C510A2"/>
    <w:pPr>
      <w:ind w:left="566" w:hanging="283"/>
    </w:pPr>
  </w:style>
  <w:style w:type="paragraph" w:styleId="ListNumber2">
    <w:name w:val="List Number 2"/>
    <w:basedOn w:val="Normal"/>
    <w:uiPriority w:val="99"/>
    <w:locked/>
    <w:rsid w:val="00824FD6"/>
    <w:pPr>
      <w:numPr>
        <w:numId w:val="22"/>
      </w:numPr>
      <w:tabs>
        <w:tab w:val="clear" w:pos="926"/>
        <w:tab w:val="num" w:pos="643"/>
      </w:tabs>
      <w:ind w:left="643"/>
    </w:pPr>
  </w:style>
</w:styles>
</file>

<file path=word/webSettings.xml><?xml version="1.0" encoding="utf-8"?>
<w:webSettings xmlns:r="http://schemas.openxmlformats.org/officeDocument/2006/relationships" xmlns:w="http://schemas.openxmlformats.org/wordprocessingml/2006/main">
  <w:divs>
    <w:div w:id="108933862">
      <w:marLeft w:val="0"/>
      <w:marRight w:val="0"/>
      <w:marTop w:val="0"/>
      <w:marBottom w:val="0"/>
      <w:divBdr>
        <w:top w:val="none" w:sz="0" w:space="0" w:color="auto"/>
        <w:left w:val="none" w:sz="0" w:space="0" w:color="auto"/>
        <w:bottom w:val="none" w:sz="0" w:space="0" w:color="auto"/>
        <w:right w:val="none" w:sz="0" w:space="0" w:color="auto"/>
      </w:divBdr>
    </w:div>
    <w:div w:id="108933863">
      <w:marLeft w:val="0"/>
      <w:marRight w:val="0"/>
      <w:marTop w:val="0"/>
      <w:marBottom w:val="0"/>
      <w:divBdr>
        <w:top w:val="none" w:sz="0" w:space="0" w:color="auto"/>
        <w:left w:val="none" w:sz="0" w:space="0" w:color="auto"/>
        <w:bottom w:val="none" w:sz="0" w:space="0" w:color="auto"/>
        <w:right w:val="none" w:sz="0" w:space="0" w:color="auto"/>
      </w:divBdr>
    </w:div>
    <w:div w:id="108933864">
      <w:marLeft w:val="0"/>
      <w:marRight w:val="0"/>
      <w:marTop w:val="0"/>
      <w:marBottom w:val="0"/>
      <w:divBdr>
        <w:top w:val="none" w:sz="0" w:space="0" w:color="auto"/>
        <w:left w:val="none" w:sz="0" w:space="0" w:color="auto"/>
        <w:bottom w:val="none" w:sz="0" w:space="0" w:color="auto"/>
        <w:right w:val="none" w:sz="0" w:space="0" w:color="auto"/>
      </w:divBdr>
    </w:div>
    <w:div w:id="108933865">
      <w:marLeft w:val="0"/>
      <w:marRight w:val="0"/>
      <w:marTop w:val="0"/>
      <w:marBottom w:val="0"/>
      <w:divBdr>
        <w:top w:val="none" w:sz="0" w:space="0" w:color="auto"/>
        <w:left w:val="none" w:sz="0" w:space="0" w:color="auto"/>
        <w:bottom w:val="none" w:sz="0" w:space="0" w:color="auto"/>
        <w:right w:val="none" w:sz="0" w:space="0" w:color="auto"/>
      </w:divBdr>
    </w:div>
    <w:div w:id="108933866">
      <w:marLeft w:val="0"/>
      <w:marRight w:val="0"/>
      <w:marTop w:val="0"/>
      <w:marBottom w:val="0"/>
      <w:divBdr>
        <w:top w:val="none" w:sz="0" w:space="0" w:color="auto"/>
        <w:left w:val="none" w:sz="0" w:space="0" w:color="auto"/>
        <w:bottom w:val="none" w:sz="0" w:space="0" w:color="auto"/>
        <w:right w:val="none" w:sz="0" w:space="0" w:color="auto"/>
      </w:divBdr>
    </w:div>
    <w:div w:id="108933867">
      <w:marLeft w:val="0"/>
      <w:marRight w:val="0"/>
      <w:marTop w:val="0"/>
      <w:marBottom w:val="0"/>
      <w:divBdr>
        <w:top w:val="none" w:sz="0" w:space="0" w:color="auto"/>
        <w:left w:val="none" w:sz="0" w:space="0" w:color="auto"/>
        <w:bottom w:val="none" w:sz="0" w:space="0" w:color="auto"/>
        <w:right w:val="none" w:sz="0" w:space="0" w:color="auto"/>
      </w:divBdr>
    </w:div>
    <w:div w:id="108933868">
      <w:marLeft w:val="0"/>
      <w:marRight w:val="0"/>
      <w:marTop w:val="0"/>
      <w:marBottom w:val="0"/>
      <w:divBdr>
        <w:top w:val="none" w:sz="0" w:space="0" w:color="auto"/>
        <w:left w:val="none" w:sz="0" w:space="0" w:color="auto"/>
        <w:bottom w:val="none" w:sz="0" w:space="0" w:color="auto"/>
        <w:right w:val="none" w:sz="0" w:space="0" w:color="auto"/>
      </w:divBdr>
    </w:div>
    <w:div w:id="108933869">
      <w:marLeft w:val="0"/>
      <w:marRight w:val="0"/>
      <w:marTop w:val="0"/>
      <w:marBottom w:val="0"/>
      <w:divBdr>
        <w:top w:val="none" w:sz="0" w:space="0" w:color="auto"/>
        <w:left w:val="none" w:sz="0" w:space="0" w:color="auto"/>
        <w:bottom w:val="none" w:sz="0" w:space="0" w:color="auto"/>
        <w:right w:val="none" w:sz="0" w:space="0" w:color="auto"/>
      </w:divBdr>
    </w:div>
    <w:div w:id="108933870">
      <w:marLeft w:val="0"/>
      <w:marRight w:val="0"/>
      <w:marTop w:val="0"/>
      <w:marBottom w:val="0"/>
      <w:divBdr>
        <w:top w:val="none" w:sz="0" w:space="0" w:color="auto"/>
        <w:left w:val="none" w:sz="0" w:space="0" w:color="auto"/>
        <w:bottom w:val="none" w:sz="0" w:space="0" w:color="auto"/>
        <w:right w:val="none" w:sz="0" w:space="0" w:color="auto"/>
      </w:divBdr>
    </w:div>
    <w:div w:id="108933871">
      <w:marLeft w:val="0"/>
      <w:marRight w:val="0"/>
      <w:marTop w:val="0"/>
      <w:marBottom w:val="0"/>
      <w:divBdr>
        <w:top w:val="none" w:sz="0" w:space="0" w:color="auto"/>
        <w:left w:val="none" w:sz="0" w:space="0" w:color="auto"/>
        <w:bottom w:val="none" w:sz="0" w:space="0" w:color="auto"/>
        <w:right w:val="none" w:sz="0" w:space="0" w:color="auto"/>
      </w:divBdr>
    </w:div>
    <w:div w:id="108933872">
      <w:marLeft w:val="0"/>
      <w:marRight w:val="0"/>
      <w:marTop w:val="0"/>
      <w:marBottom w:val="0"/>
      <w:divBdr>
        <w:top w:val="none" w:sz="0" w:space="0" w:color="auto"/>
        <w:left w:val="none" w:sz="0" w:space="0" w:color="auto"/>
        <w:bottom w:val="none" w:sz="0" w:space="0" w:color="auto"/>
        <w:right w:val="none" w:sz="0" w:space="0" w:color="auto"/>
      </w:divBdr>
    </w:div>
    <w:div w:id="108933873">
      <w:marLeft w:val="0"/>
      <w:marRight w:val="0"/>
      <w:marTop w:val="0"/>
      <w:marBottom w:val="0"/>
      <w:divBdr>
        <w:top w:val="none" w:sz="0" w:space="0" w:color="auto"/>
        <w:left w:val="none" w:sz="0" w:space="0" w:color="auto"/>
        <w:bottom w:val="none" w:sz="0" w:space="0" w:color="auto"/>
        <w:right w:val="none" w:sz="0" w:space="0" w:color="auto"/>
      </w:divBdr>
    </w:div>
    <w:div w:id="108933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troconference.org/2011/Abstracts/42488.htm" TargetMode="External"/><Relationship Id="rId18" Type="http://schemas.openxmlformats.org/officeDocument/2006/relationships/hyperlink" Target="http://www.who.int/tb/laboratory/egmreport_microscopymethods_nov09.pdf" TargetMode="External"/><Relationship Id="rId3" Type="http://schemas.openxmlformats.org/officeDocument/2006/relationships/settings" Target="settings.xml"/><Relationship Id="rId21" Type="http://schemas.openxmlformats.org/officeDocument/2006/relationships/hyperlink" Target="http://www.who.int/tb/laboratory/whopolicy_noncommercialcultureanddstmethods_mar2010.pdf" TargetMode="External"/><Relationship Id="rId7" Type="http://schemas.openxmlformats.org/officeDocument/2006/relationships/header" Target="header1.xml"/><Relationship Id="rId12" Type="http://schemas.openxmlformats.org/officeDocument/2006/relationships/hyperlink" Target="http://www.who.int/tb/laboratory/whopolicyframework_july10_revnov10.pdf" TargetMode="External"/><Relationship Id="rId17" Type="http://schemas.openxmlformats.org/officeDocument/2006/relationships/hyperlink" Target="http://www.who.int/publications/2011/9789241501545_eng.pdf" TargetMode="External"/><Relationship Id="rId2" Type="http://schemas.openxmlformats.org/officeDocument/2006/relationships/styles" Target="styles.xml"/><Relationship Id="rId16" Type="http://schemas.openxmlformats.org/officeDocument/2006/relationships/hyperlink" Target="http://www.who.int/tb/laboratory/whopolicy_framework_mar2011.pdf" TargetMode="External"/><Relationship Id="rId20" Type="http://schemas.openxmlformats.org/officeDocument/2006/relationships/hyperlink" Target="http://www.who.int/tb/laboratory/policy_statements/e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alliance.org/downloads/publications/TBA_Economics_Repor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ho.int/publications/2011/9789241501545_eng.pdf" TargetMode="External"/><Relationship Id="rId23" Type="http://schemas.openxmlformats.org/officeDocument/2006/relationships/fontTable" Target="fontTable.xml"/><Relationship Id="rId10" Type="http://schemas.openxmlformats.org/officeDocument/2006/relationships/hyperlink" Target="http://www.who.int/healthinfo/global_burden_disease/GBD2004_DisabilityWeights.pdf" TargetMode="External"/><Relationship Id="rId19" Type="http://schemas.openxmlformats.org/officeDocument/2006/relationships/hyperlink" Target="http://www.who.int/tb/laboratory/whopolicy_led_microscopy_mar2011.pdf" TargetMode="External"/><Relationship Id="rId4" Type="http://schemas.openxmlformats.org/officeDocument/2006/relationships/webSettings" Target="webSettings.xml"/><Relationship Id="rId9" Type="http://schemas.openxmlformats.org/officeDocument/2006/relationships/hyperlink" Target="http://www.worldlunghealth.org/Conf2009/website/assets/files/Abstract_Book_2009_Web.pdf" TargetMode="External"/><Relationship Id="rId14" Type="http://schemas.openxmlformats.org/officeDocument/2006/relationships/hyperlink" Target="http://www.natap.org/2010/IAS/IAS_91.htm" TargetMode="External"/><Relationship Id="rId22" Type="http://schemas.openxmlformats.org/officeDocument/2006/relationships/hyperlink" Target="http://www.who.int/tb/publications/who_policy_line_probe_assays_revoct10_r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51</Pages>
  <Words>18950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АССОЦИАЦИЯ ФТИЗИАТРОВ</dc:title>
  <dc:subject/>
  <dc:creator>omo05</dc:creator>
  <cp:keywords/>
  <dc:description/>
  <cp:lastModifiedBy>naf01</cp:lastModifiedBy>
  <cp:revision>2</cp:revision>
  <cp:lastPrinted>2013-12-05T10:01:00Z</cp:lastPrinted>
  <dcterms:created xsi:type="dcterms:W3CDTF">2014-01-31T08:46:00Z</dcterms:created>
  <dcterms:modified xsi:type="dcterms:W3CDTF">2014-01-31T08:46:00Z</dcterms:modified>
</cp:coreProperties>
</file>